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w:t>
      </w:r>
      <w:bookmarkStart w:id="31" w:name="_GoBack"/>
      <w:bookmarkEnd w:id="31"/>
      <w:r>
        <w:rPr>
          <w:rFonts w:hint="eastAsia" w:ascii="仿宋_GB2312" w:hAnsi="宋体" w:eastAsia="仿宋_GB2312"/>
          <w:sz w:val="26"/>
          <w:szCs w:val="26"/>
        </w:rPr>
        <w:t>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szCs w:val="24"/>
        </w:rPr>
        <w:t>项目名称：广州市越秀区环市中路233号</w:t>
      </w:r>
      <w:r>
        <w:rPr>
          <w:rFonts w:hint="eastAsia" w:ascii="宋体" w:hAnsi="宋体"/>
          <w:sz w:val="24"/>
          <w:szCs w:val="24"/>
          <w:lang w:val="en-US" w:eastAsia="zh-CN"/>
        </w:rPr>
        <w:t>3</w:t>
      </w:r>
      <w:r>
        <w:rPr>
          <w:rFonts w:hint="eastAsia" w:ascii="宋体" w:hAnsi="宋体"/>
          <w:sz w:val="24"/>
          <w:szCs w:val="24"/>
        </w:rPr>
        <w:t>栋</w:t>
      </w:r>
      <w:r>
        <w:rPr>
          <w:rFonts w:hint="eastAsia" w:ascii="宋体" w:hAnsi="宋体"/>
          <w:sz w:val="24"/>
          <w:szCs w:val="24"/>
          <w:lang w:val="en-US" w:eastAsia="zh-CN"/>
        </w:rPr>
        <w:t>717</w:t>
      </w:r>
      <w:r>
        <w:rPr>
          <w:rFonts w:hint="eastAsia" w:ascii="宋体" w:hAnsi="宋体"/>
          <w:sz w:val="24"/>
          <w:szCs w:val="24"/>
        </w:rPr>
        <w:t>室物业</w:t>
      </w:r>
    </w:p>
    <w:tbl>
      <w:tblPr>
        <w:tblStyle w:val="7"/>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58"/>
        <w:gridCol w:w="3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58"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608"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2958" w:type="dxa"/>
            <w:noWrap w:val="0"/>
            <w:vAlign w:val="center"/>
          </w:tcPr>
          <w:p>
            <w:pPr>
              <w:widowControl/>
              <w:spacing w:line="440" w:lineRule="exact"/>
              <w:jc w:val="center"/>
              <w:rPr>
                <w:rFonts w:ascii="仿宋_GB2312" w:hAnsi="宋体" w:eastAsia="仿宋_GB2312"/>
                <w:szCs w:val="21"/>
              </w:rPr>
            </w:pPr>
            <w:r>
              <w:rPr>
                <w:rFonts w:hint="eastAsia" w:ascii="宋体" w:hAnsi="宋体"/>
                <w:sz w:val="24"/>
                <w:szCs w:val="24"/>
              </w:rPr>
              <w:t>广州市越秀区环市中路233号</w:t>
            </w:r>
            <w:r>
              <w:rPr>
                <w:rFonts w:hint="eastAsia" w:ascii="宋体" w:hAnsi="宋体"/>
                <w:sz w:val="24"/>
                <w:szCs w:val="24"/>
                <w:lang w:val="en-US" w:eastAsia="zh-CN"/>
              </w:rPr>
              <w:t>3</w:t>
            </w:r>
            <w:r>
              <w:rPr>
                <w:rFonts w:hint="eastAsia" w:ascii="宋体" w:hAnsi="宋体"/>
                <w:sz w:val="24"/>
                <w:szCs w:val="24"/>
              </w:rPr>
              <w:t>栋</w:t>
            </w:r>
            <w:r>
              <w:rPr>
                <w:rFonts w:hint="eastAsia" w:ascii="宋体" w:hAnsi="宋体"/>
                <w:sz w:val="24"/>
                <w:szCs w:val="24"/>
                <w:lang w:val="en-US" w:eastAsia="zh-CN"/>
              </w:rPr>
              <w:t>717</w:t>
            </w:r>
            <w:r>
              <w:rPr>
                <w:rFonts w:hint="eastAsia" w:ascii="宋体" w:hAnsi="宋体"/>
                <w:sz w:val="24"/>
                <w:szCs w:val="24"/>
              </w:rPr>
              <w:t>室物业</w:t>
            </w:r>
          </w:p>
        </w:tc>
        <w:tc>
          <w:tcPr>
            <w:tcW w:w="3608"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2958" w:type="dxa"/>
            <w:noWrap w:val="0"/>
            <w:vAlign w:val="center"/>
          </w:tcPr>
          <w:p>
            <w:pPr>
              <w:widowControl/>
              <w:spacing w:line="440" w:lineRule="exact"/>
              <w:jc w:val="center"/>
              <w:rPr>
                <w:rFonts w:ascii="仿宋_GB2312" w:hAnsi="宋体" w:eastAsia="仿宋_GB2312"/>
                <w:szCs w:val="21"/>
              </w:rPr>
            </w:pPr>
          </w:p>
        </w:tc>
        <w:tc>
          <w:tcPr>
            <w:tcW w:w="3608" w:type="dxa"/>
            <w:noWrap w:val="0"/>
            <w:vAlign w:val="center"/>
          </w:tcPr>
          <w:p>
            <w:pPr>
              <w:widowControl/>
              <w:spacing w:line="440" w:lineRule="exact"/>
              <w:ind w:firstLine="1470" w:firstLineChars="700"/>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2958" w:type="dxa"/>
            <w:noWrap w:val="0"/>
            <w:vAlign w:val="center"/>
          </w:tcPr>
          <w:p>
            <w:pPr>
              <w:widowControl/>
              <w:spacing w:line="440" w:lineRule="exact"/>
              <w:jc w:val="center"/>
              <w:rPr>
                <w:rFonts w:hint="default" w:ascii="仿宋_GB2312" w:hAnsi="宋体" w:eastAsia="仿宋_GB2312"/>
                <w:szCs w:val="24"/>
                <w:lang w:val="en-US" w:eastAsia="zh-CN"/>
              </w:rPr>
            </w:pPr>
          </w:p>
        </w:tc>
        <w:tc>
          <w:tcPr>
            <w:tcW w:w="3608" w:type="dxa"/>
            <w:noWrap w:val="0"/>
            <w:vAlign w:val="center"/>
          </w:tcPr>
          <w:p>
            <w:pPr>
              <w:widowControl/>
              <w:jc w:val="center"/>
              <w:rPr>
                <w:rFonts w:hint="default" w:ascii="仿宋_GB2312" w:hAnsi="宋体" w:eastAsia="仿宋_GB2312"/>
                <w:szCs w:val="24"/>
                <w:lang w:val="en-US" w:eastAsia="zh-CN"/>
              </w:rPr>
            </w:pPr>
            <w:r>
              <w:rPr>
                <w:rFonts w:hint="eastAsia" w:ascii="仿宋_GB2312" w:hAnsi="宋体" w:eastAsia="仿宋_GB2312"/>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295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元/</w:t>
            </w:r>
            <w:r>
              <w:rPr>
                <w:rFonts w:hint="eastAsia" w:ascii="仿宋_GB2312" w:hAnsi="宋体" w:eastAsia="仿宋_GB2312"/>
                <w:sz w:val="24"/>
                <w:szCs w:val="24"/>
                <w:lang w:val="en-US" w:eastAsia="zh-CN"/>
              </w:rPr>
              <w:t>平方米</w:t>
            </w:r>
            <w:r>
              <w:rPr>
                <w:rFonts w:hint="eastAsia" w:ascii="仿宋_GB2312" w:hAnsi="仿宋_GB2312" w:eastAsia="仿宋_GB2312" w:cs="仿宋_GB2312"/>
                <w:sz w:val="24"/>
                <w:szCs w:val="24"/>
              </w:rPr>
              <w:t>·</w:t>
            </w:r>
            <w:r>
              <w:rPr>
                <w:rFonts w:hint="eastAsia" w:ascii="仿宋_GB2312" w:hAnsi="宋体" w:eastAsia="仿宋_GB2312"/>
                <w:sz w:val="24"/>
                <w:szCs w:val="24"/>
              </w:rPr>
              <w:t>月</w:t>
            </w:r>
          </w:p>
        </w:tc>
        <w:tc>
          <w:tcPr>
            <w:tcW w:w="3608"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 w:val="24"/>
                <w:szCs w:val="24"/>
              </w:rPr>
              <w:t>不低于</w:t>
            </w:r>
            <w:r>
              <w:rPr>
                <w:rFonts w:hint="eastAsia" w:ascii="仿宋_GB2312" w:hAnsi="宋体" w:eastAsia="仿宋_GB2312"/>
                <w:sz w:val="24"/>
                <w:szCs w:val="24"/>
                <w:lang w:val="en-US" w:eastAsia="zh-CN"/>
              </w:rPr>
              <w:t>88</w:t>
            </w:r>
            <w:r>
              <w:rPr>
                <w:rFonts w:hint="eastAsia" w:ascii="仿宋_GB2312" w:hAnsi="宋体" w:eastAsia="仿宋_GB2312"/>
                <w:sz w:val="24"/>
                <w:szCs w:val="24"/>
              </w:rPr>
              <w:t>元/</w:t>
            </w:r>
            <w:r>
              <w:rPr>
                <w:rFonts w:hint="eastAsia" w:ascii="仿宋_GB2312" w:hAnsi="宋体" w:eastAsia="仿宋_GB2312"/>
                <w:sz w:val="24"/>
                <w:szCs w:val="24"/>
                <w:lang w:val="en-US" w:eastAsia="zh-CN"/>
              </w:rPr>
              <w:t>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321"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2958" w:type="dxa"/>
            <w:noWrap w:val="0"/>
            <w:vAlign w:val="center"/>
          </w:tcPr>
          <w:p>
            <w:pPr>
              <w:widowControl/>
              <w:spacing w:line="440" w:lineRule="exact"/>
              <w:jc w:val="center"/>
              <w:rPr>
                <w:rFonts w:hint="eastAsia" w:ascii="仿宋_GB2312" w:hAnsi="宋体" w:eastAsia="仿宋_GB2312"/>
                <w:b/>
                <w:bCs/>
                <w:szCs w:val="21"/>
                <w:u w:val="single"/>
              </w:rPr>
            </w:pPr>
          </w:p>
        </w:tc>
        <w:tc>
          <w:tcPr>
            <w:tcW w:w="3608" w:type="dxa"/>
            <w:noWrap w:val="0"/>
            <w:vAlign w:val="center"/>
          </w:tcPr>
          <w:p>
            <w:pPr>
              <w:widowControl/>
              <w:jc w:val="center"/>
              <w:rPr>
                <w:rFonts w:hint="default" w:ascii="仿宋_GB2312" w:hAnsi="宋体" w:eastAsia="仿宋_GB2312"/>
                <w:b/>
                <w:bCs/>
                <w:szCs w:val="21"/>
                <w:lang w:val="en-US" w:eastAsia="zh-CN"/>
              </w:rPr>
            </w:pPr>
            <w:r>
              <w:rPr>
                <w:rFonts w:hint="eastAsia" w:ascii="仿宋_GB2312" w:hAnsi="宋体" w:eastAsia="仿宋_GB2312"/>
                <w:b/>
                <w:bCs/>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2958" w:type="dxa"/>
            <w:noWrap w:val="0"/>
            <w:vAlign w:val="center"/>
          </w:tcPr>
          <w:p>
            <w:pPr>
              <w:widowControl/>
              <w:spacing w:line="440" w:lineRule="exact"/>
              <w:rPr>
                <w:rFonts w:ascii="仿宋_GB2312" w:hAnsi="宋体" w:eastAsia="仿宋_GB2312"/>
                <w:szCs w:val="21"/>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3元/</w:t>
            </w:r>
            <w:r>
              <w:rPr>
                <w:rFonts w:hint="eastAsia" w:ascii="仿宋_GB2312" w:hAnsi="宋体" w:eastAsia="仿宋_GB2312"/>
                <w:sz w:val="24"/>
                <w:szCs w:val="24"/>
                <w:lang w:val="en-US" w:eastAsia="zh-CN"/>
              </w:rPr>
              <w:t>平方米</w:t>
            </w:r>
            <w:r>
              <w:rPr>
                <w:rFonts w:hint="eastAsia" w:ascii="仿宋_GB2312" w:hAnsi="宋体" w:eastAsia="仿宋_GB2312"/>
                <w:sz w:val="24"/>
                <w:szCs w:val="24"/>
              </w:rPr>
              <w:t>·月</w:t>
            </w:r>
          </w:p>
        </w:tc>
        <w:tc>
          <w:tcPr>
            <w:tcW w:w="360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rPr>
              <w:t>含公共区域的安保、保洁、中央空调</w:t>
            </w:r>
            <w:r>
              <w:rPr>
                <w:rFonts w:hint="eastAsia" w:ascii="仿宋_GB2312" w:hAnsi="宋体" w:eastAsia="仿宋_GB2312"/>
                <w:szCs w:val="21"/>
                <w:lang w:eastAsia="zh-CN"/>
              </w:rPr>
              <w:t>，</w:t>
            </w:r>
            <w:r>
              <w:rPr>
                <w:rFonts w:hint="eastAsia" w:ascii="仿宋_GB2312" w:hAnsi="宋体" w:eastAsia="仿宋_GB2312"/>
                <w:szCs w:val="21"/>
                <w:lang w:val="en-US" w:eastAsia="zh-CN"/>
              </w:rPr>
              <w:t>不含</w:t>
            </w:r>
            <w:r>
              <w:rPr>
                <w:rFonts w:hint="eastAsia" w:ascii="仿宋_GB2312" w:hAnsi="宋体" w:eastAsia="仿宋_GB2312"/>
                <w:szCs w:val="21"/>
              </w:rPr>
              <w:t>餐厨垃圾清运、油烟处理、下水管道清理。</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7"/>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spacing w:line="300" w:lineRule="auto"/>
        <w:rPr>
          <w:rFonts w:ascii="宋体" w:hAnsi="宋体"/>
          <w:b/>
          <w:sz w:val="72"/>
          <w:szCs w:val="72"/>
        </w:rPr>
      </w:pPr>
    </w:p>
    <w:p>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pPr>
        <w:spacing w:line="300" w:lineRule="auto"/>
        <w:jc w:val="center"/>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hint="eastAsia"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仿宋" w:hAnsi="仿宋" w:eastAsia="仿宋" w:cs="黑体"/>
          <w:b/>
          <w:sz w:val="32"/>
          <w:szCs w:val="32"/>
        </w:rPr>
      </w:pPr>
    </w:p>
    <w:p>
      <w:pPr>
        <w:spacing w:line="300" w:lineRule="auto"/>
        <w:jc w:val="center"/>
        <w:rPr>
          <w:rFonts w:ascii="仿宋" w:hAnsi="仿宋" w:eastAsia="仿宋" w:cs="黑体"/>
          <w:b/>
          <w:color w:val="000000"/>
          <w:sz w:val="40"/>
          <w:szCs w:val="40"/>
        </w:rPr>
      </w:pPr>
    </w:p>
    <w:p>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300" w:lineRule="auto"/>
        <w:jc w:val="center"/>
        <w:rPr>
          <w:rFonts w:ascii="仿宋" w:hAnsi="仿宋" w:eastAsia="仿宋" w:cs="黑体"/>
          <w:b/>
          <w:color w:val="000000"/>
          <w:sz w:val="32"/>
          <w:szCs w:val="32"/>
        </w:rPr>
      </w:pPr>
    </w:p>
    <w:p>
      <w:pPr>
        <w:pStyle w:val="5"/>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9"/>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"_Toc529202685" </w:instrText>
      </w:r>
      <w:r>
        <w:fldChar w:fldCharType="separate"/>
      </w:r>
      <w:r>
        <w:rPr>
          <w:rStyle w:val="9"/>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"_Toc529202686" </w:instrText>
      </w:r>
      <w:r>
        <w:fldChar w:fldCharType="separate"/>
      </w:r>
      <w:r>
        <w:rPr>
          <w:rStyle w:val="9"/>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5</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"_Toc529202687" </w:instrText>
      </w:r>
      <w:r>
        <w:fldChar w:fldCharType="separate"/>
      </w:r>
      <w:r>
        <w:rPr>
          <w:rStyle w:val="9"/>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7</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"_Toc529202688" </w:instrText>
      </w:r>
      <w:r>
        <w:fldChar w:fldCharType="separate"/>
      </w:r>
      <w:r>
        <w:rPr>
          <w:rStyle w:val="9"/>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8</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"_Toc529202689" </w:instrText>
      </w:r>
      <w:r>
        <w:fldChar w:fldCharType="separate"/>
      </w:r>
      <w:r>
        <w:rPr>
          <w:rStyle w:val="9"/>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9</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"_Toc529202690" </w:instrText>
      </w:r>
      <w:r>
        <w:fldChar w:fldCharType="separate"/>
      </w:r>
      <w:r>
        <w:rPr>
          <w:rStyle w:val="9"/>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"_Toc529202691" </w:instrText>
      </w:r>
      <w:r>
        <w:fldChar w:fldCharType="separate"/>
      </w:r>
      <w:r>
        <w:rPr>
          <w:rStyle w:val="9"/>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"_Toc529202692" </w:instrText>
      </w:r>
      <w:r>
        <w:fldChar w:fldCharType="separate"/>
      </w:r>
      <w:r>
        <w:rPr>
          <w:rStyle w:val="9"/>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11</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"_Toc529202693" </w:instrText>
      </w:r>
      <w:r>
        <w:fldChar w:fldCharType="separate"/>
      </w:r>
      <w:r>
        <w:rPr>
          <w:rStyle w:val="9"/>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"_Toc529202694" </w:instrText>
      </w:r>
      <w:r>
        <w:fldChar w:fldCharType="separate"/>
      </w:r>
      <w:r>
        <w:rPr>
          <w:rStyle w:val="9"/>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"_Toc529202695" </w:instrText>
      </w:r>
      <w:r>
        <w:fldChar w:fldCharType="separate"/>
      </w:r>
      <w:r>
        <w:rPr>
          <w:rStyle w:val="9"/>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5"/>
        <w:tabs>
          <w:tab w:val="right" w:leader="dot" w:pos="8296"/>
        </w:tabs>
        <w:spacing w:line="300" w:lineRule="auto"/>
        <w:rPr>
          <w:rFonts w:ascii="仿宋_GB2312" w:eastAsia="仿宋_GB2312"/>
          <w:b/>
          <w:sz w:val="28"/>
        </w:rPr>
      </w:pPr>
      <w:r>
        <w:fldChar w:fldCharType="begin"/>
      </w:r>
      <w:r>
        <w:instrText xml:space="preserve"> HYPERLINK \l "_Toc529202696" </w:instrText>
      </w:r>
      <w:r>
        <w:fldChar w:fldCharType="separate"/>
      </w:r>
      <w:r>
        <w:rPr>
          <w:rStyle w:val="9"/>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14</w:t>
      </w:r>
      <w:r>
        <w:rPr>
          <w:rFonts w:hint="eastAsia" w:ascii="仿宋_GB2312" w:eastAsia="仿宋_GB2312"/>
          <w:b/>
          <w:sz w:val="28"/>
        </w:rPr>
        <w:fldChar w:fldCharType="end"/>
      </w:r>
      <w:r>
        <w:rPr>
          <w:rFonts w:hint="eastAsia" w:ascii="仿宋_GB2312" w:eastAsia="仿宋_GB2312"/>
          <w:b/>
          <w:sz w:val="28"/>
        </w:rPr>
        <w:fldChar w:fldCharType="end"/>
      </w:r>
    </w:p>
    <w:p>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tabs>
          <w:tab w:val="right" w:leader="dot" w:pos="8505"/>
        </w:tabs>
        <w:spacing w:line="300" w:lineRule="auto"/>
        <w:jc w:val="left"/>
        <w:rPr>
          <w:rFonts w:ascii="宋体" w:hAnsi="宋体"/>
          <w:b/>
          <w:bCs/>
          <w:caps/>
          <w:color w:val="000000"/>
          <w:sz w:val="24"/>
        </w:rPr>
      </w:pPr>
      <w:r>
        <w:rPr>
          <w:rFonts w:ascii="宋体" w:hAnsi="宋体"/>
          <w:b/>
          <w:bCs/>
          <w:caps/>
          <w:color w:val="000000"/>
          <w:sz w:val="24"/>
        </w:rPr>
        <w:t xml:space="preserve"> </w:t>
      </w:r>
    </w:p>
    <w:p>
      <w:pPr>
        <w:spacing w:line="300" w:lineRule="auto"/>
        <w:jc w:val="center"/>
        <w:rPr>
          <w:rFonts w:ascii="宋体" w:hAnsi="宋体"/>
          <w:color w:val="000000"/>
        </w:rPr>
      </w:pPr>
      <w:r>
        <w:rPr>
          <w:rFonts w:ascii="宋体" w:hAnsi="宋体"/>
          <w:color w:val="000000"/>
        </w:rPr>
        <w:br w:type="page"/>
      </w:r>
    </w:p>
    <w:p>
      <w:pPr>
        <w:spacing w:line="300" w:lineRule="auto"/>
        <w:jc w:val="center"/>
        <w:rPr>
          <w:rFonts w:ascii="宋体" w:hAnsi="宋体"/>
          <w:b/>
          <w:color w:val="000000"/>
          <w:sz w:val="40"/>
          <w:szCs w:val="40"/>
        </w:rPr>
      </w:pPr>
      <w:r>
        <w:rPr>
          <w:rFonts w:hint="eastAsia" w:ascii="宋体" w:hAnsi="宋体"/>
          <w:b/>
          <w:color w:val="000000"/>
          <w:sz w:val="40"/>
          <w:szCs w:val="40"/>
        </w:rPr>
        <w:t>花果山超高清视频产业特色小镇物业租赁合同</w:t>
      </w:r>
    </w:p>
    <w:p>
      <w:pPr>
        <w:spacing w:line="300" w:lineRule="auto"/>
        <w:rPr>
          <w:rFonts w:ascii="仿宋" w:hAnsi="仿宋" w:eastAsia="仿宋"/>
          <w:color w:val="000000"/>
          <w:sz w:val="24"/>
        </w:rPr>
      </w:pPr>
    </w:p>
    <w:p>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pPr>
        <w:spacing w:line="300" w:lineRule="auto"/>
        <w:rPr>
          <w:rFonts w:hint="eastAsia"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人：林海</w:t>
      </w:r>
    </w:p>
    <w:p>
      <w:pPr>
        <w:spacing w:line="300" w:lineRule="auto"/>
        <w:rPr>
          <w:rFonts w:hint="eastAsia" w:ascii="仿宋" w:hAnsi="仿宋" w:eastAsia="仿宋"/>
          <w:color w:val="000000"/>
          <w:sz w:val="24"/>
        </w:rPr>
      </w:pPr>
      <w:r>
        <w:rPr>
          <w:rFonts w:hint="eastAsia" w:ascii="仿宋" w:hAnsi="仿宋" w:eastAsia="仿宋"/>
          <w:color w:val="000000"/>
          <w:sz w:val="24"/>
        </w:rPr>
        <w:t>通讯地址：广州市越秀区人民北路686号广东广播中心主楼1006室</w:t>
      </w:r>
    </w:p>
    <w:p>
      <w:pPr>
        <w:spacing w:line="300" w:lineRule="auto"/>
        <w:rPr>
          <w:rFonts w:hint="eastAsia" w:ascii="仿宋" w:hAnsi="仿宋" w:eastAsia="仿宋"/>
          <w:color w:val="000000"/>
          <w:sz w:val="24"/>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话：020-26188028</w:t>
      </w:r>
    </w:p>
    <w:p>
      <w:pPr>
        <w:spacing w:line="300" w:lineRule="auto"/>
        <w:rPr>
          <w:rFonts w:ascii="仿宋" w:hAnsi="仿宋" w:eastAsia="仿宋"/>
          <w:color w:val="000000"/>
          <w:sz w:val="24"/>
        </w:rPr>
      </w:pPr>
      <w:r>
        <w:rPr>
          <w:rFonts w:hint="eastAsia" w:ascii="仿宋" w:hAnsi="仿宋" w:eastAsia="仿宋"/>
          <w:color w:val="000000"/>
          <w:sz w:val="24"/>
        </w:rPr>
        <w:t>邮    箱：hgs@jygs.ntesmail.com</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rPr>
      </w:pPr>
    </w:p>
    <w:p>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（包括租赁物业）进行物业管理的具有相应资质的物业管理公司，现为广州市建隆物业管理有限公司越秀分公司。甲方有权变更物业管理人。</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u w:val="single"/>
        </w:rPr>
      </w:pPr>
    </w:p>
    <w:p>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7"/>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0"/>
                <w:szCs w:val="20"/>
              </w:rPr>
            </w:pPr>
          </w:p>
        </w:tc>
        <w:tc>
          <w:tcPr>
            <w:tcW w:w="1276"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00" w:firstLineChars="50"/>
              <w:rPr>
                <w:rFonts w:ascii="仿宋_GB2312" w:hAnsi="宋体" w:eastAsia="仿宋_GB2312"/>
                <w:bCs/>
                <w:sz w:val="20"/>
                <w:szCs w:val="20"/>
              </w:rPr>
            </w:pPr>
          </w:p>
        </w:tc>
        <w:tc>
          <w:tcPr>
            <w:tcW w:w="1276" w:type="dxa"/>
            <w:noWrap w:val="0"/>
            <w:vAlign w:val="center"/>
          </w:tcPr>
          <w:p>
            <w:pPr>
              <w:tabs>
                <w:tab w:val="left" w:pos="1276"/>
              </w:tabs>
              <w:spacing w:line="300" w:lineRule="auto"/>
              <w:jc w:val="center"/>
              <w:rPr>
                <w:rFonts w:ascii="仿宋_GB2312" w:hAnsi="宋体" w:eastAsia="仿宋_GB2312"/>
                <w:bCs/>
                <w:sz w:val="20"/>
                <w:szCs w:val="20"/>
              </w:rPr>
            </w:pPr>
          </w:p>
        </w:tc>
        <w:tc>
          <w:tcPr>
            <w:tcW w:w="1369" w:type="dxa"/>
            <w:noWrap w:val="0"/>
            <w:vAlign w:val="center"/>
          </w:tcPr>
          <w:p>
            <w:pPr>
              <w:tabs>
                <w:tab w:val="left" w:pos="1276"/>
              </w:tabs>
              <w:spacing w:line="300" w:lineRule="auto"/>
              <w:jc w:val="center"/>
              <w:rPr>
                <w:rFonts w:ascii="仿宋_GB2312" w:hAnsi="宋体" w:eastAsia="仿宋_GB2312"/>
                <w:bCs/>
                <w:sz w:val="20"/>
                <w:szCs w:val="20"/>
              </w:rPr>
            </w:pPr>
          </w:p>
        </w:tc>
        <w:tc>
          <w:tcPr>
            <w:tcW w:w="1198" w:type="dxa"/>
            <w:noWrap w:val="0"/>
            <w:vAlign w:val="center"/>
          </w:tcPr>
          <w:p>
            <w:pPr>
              <w:tabs>
                <w:tab w:val="left" w:pos="1276"/>
              </w:tabs>
              <w:spacing w:line="300" w:lineRule="auto"/>
              <w:jc w:val="center"/>
              <w:rPr>
                <w:rFonts w:ascii="仿宋_GB2312" w:hAnsi="宋体" w:eastAsia="仿宋_GB2312"/>
                <w:bCs/>
                <w:sz w:val="20"/>
                <w:szCs w:val="20"/>
              </w:rPr>
            </w:pPr>
          </w:p>
        </w:tc>
        <w:tc>
          <w:tcPr>
            <w:tcW w:w="1354" w:type="dxa"/>
            <w:noWrap w:val="0"/>
            <w:vAlign w:val="center"/>
          </w:tcPr>
          <w:p>
            <w:pPr>
              <w:tabs>
                <w:tab w:val="left" w:pos="1276"/>
              </w:tabs>
              <w:spacing w:line="300" w:lineRule="auto"/>
              <w:jc w:val="center"/>
              <w:rPr>
                <w:rFonts w:ascii="仿宋_GB2312" w:hAnsi="宋体" w:eastAsia="仿宋_GB2312"/>
                <w:bCs/>
                <w:sz w:val="20"/>
                <w:szCs w:val="20"/>
              </w:rPr>
            </w:pPr>
          </w:p>
        </w:tc>
        <w:tc>
          <w:tcPr>
            <w:tcW w:w="1831" w:type="dxa"/>
            <w:noWrap w:val="0"/>
            <w:vAlign w:val="center"/>
          </w:tcPr>
          <w:p>
            <w:pPr>
              <w:tabs>
                <w:tab w:val="left" w:pos="1276"/>
              </w:tabs>
              <w:spacing w:line="300" w:lineRule="auto"/>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租金按月支付，乙方应当于每月第10日前支付当月租金（按含增值税金额支付）。甲方收到租金后，应当出具等额有效租金增值税发票。若当月10日为国家法定节假日，支付时间顺延至节假日结束的次日。</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7"/>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pPr>
        <w:tabs>
          <w:tab w:val="left" w:pos="0"/>
          <w:tab w:val="left" w:pos="360"/>
          <w:tab w:val="left" w:pos="1701"/>
        </w:tabs>
        <w:spacing w:line="300" w:lineRule="auto"/>
        <w:ind w:firstLine="480" w:firstLineChars="200"/>
        <w:rPr>
          <w:rFonts w:ascii="仿宋" w:hAnsi="仿宋" w:eastAsia="仿宋"/>
          <w:sz w:val="24"/>
        </w:rPr>
      </w:pPr>
    </w:p>
    <w:p>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900"/>
        </w:tabs>
        <w:spacing w:line="300" w:lineRule="auto"/>
        <w:rPr>
          <w:rFonts w:ascii="仿宋" w:hAnsi="仿宋" w:eastAsia="仿宋"/>
          <w:sz w:val="24"/>
          <w:u w:val="single"/>
        </w:rPr>
      </w:pPr>
    </w:p>
    <w:p>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843"/>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pacing w:val="-2"/>
          <w:sz w:val="24"/>
        </w:rPr>
      </w:pPr>
    </w:p>
    <w:p>
      <w:pPr>
        <w:keepNext/>
        <w:keepLines/>
        <w:spacing w:line="300" w:lineRule="auto"/>
        <w:jc w:val="center"/>
        <w:outlineLvl w:val="0"/>
        <w:rPr>
          <w:rFonts w:ascii="仿宋" w:hAnsi="仿宋" w:eastAsia="仿宋"/>
          <w:b/>
          <w:bCs/>
          <w:spacing w:val="-2"/>
          <w:sz w:val="24"/>
        </w:rPr>
      </w:pPr>
      <w:bookmarkStart w:id="13" w:name="_Toc248924431"/>
      <w:bookmarkStart w:id="14" w:name="_Toc529202689"/>
      <w:r>
        <w:rPr>
          <w:rFonts w:hint="eastAsia" w:ascii="仿宋" w:hAnsi="仿宋" w:eastAsia="仿宋"/>
          <w:b/>
          <w:bCs/>
          <w:sz w:val="24"/>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529202690"/>
      <w:bookmarkStart w:id="16" w:name="_Toc248924432"/>
    </w:p>
    <w:p>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7" w:name="_Toc248924433"/>
      <w:bookmarkStart w:id="18" w:name="_Toc529202691"/>
      <w:r>
        <w:rPr>
          <w:rFonts w:hint="eastAsia" w:ascii="仿宋" w:hAnsi="仿宋" w:eastAsia="仿宋"/>
          <w:b/>
          <w:kern w:val="44"/>
          <w:sz w:val="24"/>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9" w:name="_Toc529202692"/>
      <w:bookmarkStart w:id="20" w:name="_Toc248924434"/>
      <w:r>
        <w:rPr>
          <w:rFonts w:hint="eastAsia" w:ascii="仿宋" w:hAnsi="仿宋" w:eastAsia="仿宋"/>
          <w:b/>
          <w:kern w:val="44"/>
          <w:sz w:val="24"/>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1.租赁物业清洁。</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w:t>
      </w:r>
      <w:r>
        <w:rPr>
          <w:rFonts w:hint="eastAsia" w:ascii="仿宋" w:hAnsi="仿宋" w:eastAsia="仿宋"/>
          <w:sz w:val="24"/>
          <w:lang w:eastAsia="zh-Hans"/>
        </w:rPr>
        <w:t>添附</w:t>
      </w:r>
      <w:r>
        <w:rPr>
          <w:rFonts w:hint="eastAsia" w:ascii="仿宋" w:hAnsi="仿宋" w:eastAsia="仿宋"/>
          <w:sz w:val="24"/>
        </w:rPr>
        <w:t>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pPr>
        <w:tabs>
          <w:tab w:val="left" w:pos="426"/>
          <w:tab w:val="left" w:pos="993"/>
          <w:tab w:val="left" w:pos="1701"/>
        </w:tabs>
        <w:spacing w:line="300" w:lineRule="auto"/>
        <w:ind w:firstLine="480" w:firstLineChars="200"/>
        <w:rPr>
          <w:rFonts w:hint="eastAsia"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pPr>
        <w:tabs>
          <w:tab w:val="left" w:pos="0"/>
          <w:tab w:val="left" w:pos="360"/>
          <w:tab w:val="left" w:pos="1485"/>
          <w:tab w:val="left" w:pos="1701"/>
          <w:tab w:val="left" w:pos="2127"/>
        </w:tabs>
        <w:spacing w:line="300" w:lineRule="auto"/>
        <w:ind w:firstLine="480" w:firstLineChars="200"/>
        <w:rPr>
          <w:rFonts w:hint="eastAsia" w:ascii="仿宋" w:hAnsi="仿宋" w:eastAsia="仿宋"/>
          <w:sz w:val="24"/>
        </w:rPr>
      </w:pPr>
      <w:r>
        <w:rPr>
          <w:rFonts w:hint="eastAsia" w:ascii="仿宋" w:hAnsi="仿宋" w:eastAsia="仿宋"/>
          <w:sz w:val="24"/>
          <w:szCs w:val="24"/>
        </w:rPr>
        <w:t>办理物业退场移交手续时，乙方须按照本合同第十四条、第五十三条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1" w:name="_Toc529202693"/>
      <w:bookmarkStart w:id="22" w:name="_Toc248924435"/>
      <w:r>
        <w:rPr>
          <w:rFonts w:hint="eastAsia" w:ascii="仿宋" w:hAnsi="仿宋" w:eastAsia="仿宋"/>
          <w:b/>
          <w:kern w:val="44"/>
          <w:sz w:val="24"/>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3" w:name="_Toc529202694"/>
      <w:bookmarkStart w:id="24" w:name="_Toc248924436"/>
      <w:r>
        <w:rPr>
          <w:rFonts w:hint="eastAsia" w:ascii="仿宋" w:hAnsi="仿宋" w:eastAsia="仿宋"/>
          <w:b/>
          <w:bCs/>
          <w:kern w:val="44"/>
          <w:sz w:val="24"/>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5" w:name="_Toc529202695"/>
      <w:bookmarkStart w:id="26" w:name="_Toc248924437"/>
      <w:r>
        <w:rPr>
          <w:rFonts w:hint="eastAsia" w:ascii="仿宋" w:hAnsi="仿宋" w:eastAsia="仿宋"/>
          <w:b/>
          <w:kern w:val="44"/>
          <w:sz w:val="24"/>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7" w:name="_Toc248924438"/>
      <w:bookmarkStart w:id="28" w:name="_Toc529202696"/>
      <w:r>
        <w:rPr>
          <w:rFonts w:hint="eastAsia" w:ascii="仿宋" w:hAnsi="仿宋" w:eastAsia="仿宋"/>
          <w:b/>
          <w:bCs/>
          <w:kern w:val="44"/>
          <w:sz w:val="24"/>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hint="eastAsia"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line="300" w:lineRule="auto"/>
        <w:ind w:firstLine="3120" w:firstLineChars="1300"/>
        <w:rPr>
          <w:rFonts w:hint="eastAsia" w:ascii="仿宋" w:hAnsi="仿宋" w:eastAsia="仿宋"/>
          <w:sz w:val="24"/>
        </w:rPr>
      </w:pPr>
    </w:p>
    <w:p>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pPr>
        <w:tabs>
          <w:tab w:val="left" w:pos="360"/>
          <w:tab w:val="left" w:pos="1485"/>
        </w:tabs>
        <w:spacing w:line="300" w:lineRule="auto"/>
        <w:rPr>
          <w:rFonts w:ascii="仿宋" w:hAnsi="仿宋" w:eastAsia="仿宋"/>
          <w:sz w:val="24"/>
        </w:rPr>
      </w:pPr>
    </w:p>
    <w:p>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pPr>
        <w:tabs>
          <w:tab w:val="left" w:pos="360"/>
          <w:tab w:val="left" w:pos="1485"/>
        </w:tabs>
        <w:spacing w:line="300" w:lineRule="auto"/>
        <w:rPr>
          <w:rFonts w:hint="eastAsia" w:ascii="仿宋" w:hAnsi="仿宋" w:eastAsia="仿宋"/>
          <w:sz w:val="24"/>
        </w:rPr>
      </w:pPr>
      <w:r>
        <w:rPr>
          <w:rFonts w:hint="eastAsia" w:ascii="仿宋" w:hAnsi="仿宋" w:eastAsia="仿宋"/>
          <w:sz w:val="24"/>
        </w:rPr>
        <w:t xml:space="preserve">      4.客户信息备案表</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HUxj9oAAAAL&#10;AQAADwAAAAAAAAABACAAAAAiAAAAZHJzL2Rvd25yZXYueG1sUEsBAhQAFAAAAAgAh07iQDLFFZ7h&#10;AQAA3gMAAA4AAAAAAAAAAQAgAAAAKQEAAGRycy9lMm9Eb2MueG1sUEsFBgAAAAAGAAYAWQEAAHwF&#10;AAAAAA==&#10;">
                <v:path/>
                <v:fill on="t" focussize="0,0"/>
                <v:stroke color="#FFFFFF"/>
                <v:imagedata o:title=""/>
                <o:lock v:ext="edit" aspectratio="f"/>
              </v:rect>
            </w:pict>
          </mc:Fallback>
        </mc:AlternateContent>
      </w: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宋体" w:hAnsi="宋体"/>
          <w:color w:val="000000"/>
          <w:sz w:val="24"/>
        </w:rPr>
      </w:pPr>
      <w:r>
        <w:rPr>
          <w:rFonts w:ascii="宋体" w:hAnsi="宋体"/>
          <w:color w:val="000000"/>
          <w:sz w:val="24"/>
        </w:rPr>
        <w:br w:type="page"/>
      </w: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10"/>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720" w:lineRule="auto"/>
        <w:ind w:firstLine="2224" w:firstLineChars="504"/>
        <w:rPr>
          <w:rFonts w:hint="eastAsia" w:ascii="仿宋" w:hAnsi="仿宋" w:eastAsia="仿宋"/>
          <w:b/>
          <w:bCs/>
          <w:spacing w:val="60"/>
          <w:sz w:val="32"/>
          <w:szCs w:val="32"/>
        </w:rPr>
      </w:pPr>
    </w:p>
    <w:p>
      <w:pPr>
        <w:spacing w:line="360" w:lineRule="auto"/>
        <w:jc w:val="center"/>
        <w:rPr>
          <w:rFonts w:hint="eastAsia" w:ascii="仿宋" w:hAnsi="仿宋" w:eastAsia="仿宋"/>
          <w:b/>
          <w:bCs/>
          <w:color w:val="000000"/>
          <w:sz w:val="28"/>
          <w:szCs w:val="28"/>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1"/>
        <w:shd w:val="clear" w:color="auto" w:fill="FFFFFF"/>
        <w:spacing w:before="0" w:beforeAutospacing="0" w:after="0" w:afterAutospacing="0" w:line="360" w:lineRule="auto"/>
        <w:rPr>
          <w:rFonts w:ascii="仿宋" w:hAnsi="仿宋" w:eastAsia="仿宋" w:cs="Times New Roman"/>
          <w:b/>
          <w:bCs/>
        </w:rPr>
      </w:pP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1"/>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1"/>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1"/>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1"/>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1"/>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0"/>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82E40"/>
    <w:rsid w:val="00260F89"/>
    <w:rsid w:val="02E55A4C"/>
    <w:rsid w:val="04212E8E"/>
    <w:rsid w:val="04397D28"/>
    <w:rsid w:val="098A463A"/>
    <w:rsid w:val="0A68067A"/>
    <w:rsid w:val="0B001BD4"/>
    <w:rsid w:val="0DAB4917"/>
    <w:rsid w:val="101E700C"/>
    <w:rsid w:val="12F0669A"/>
    <w:rsid w:val="15B80BCE"/>
    <w:rsid w:val="1660490D"/>
    <w:rsid w:val="17F30283"/>
    <w:rsid w:val="1A6209B5"/>
    <w:rsid w:val="1B6E21D7"/>
    <w:rsid w:val="257F16C6"/>
    <w:rsid w:val="26072736"/>
    <w:rsid w:val="27DE3797"/>
    <w:rsid w:val="2826282F"/>
    <w:rsid w:val="29A41A6E"/>
    <w:rsid w:val="2CA877E2"/>
    <w:rsid w:val="2CE02407"/>
    <w:rsid w:val="316A2CB1"/>
    <w:rsid w:val="35067EEE"/>
    <w:rsid w:val="38157E73"/>
    <w:rsid w:val="476D288B"/>
    <w:rsid w:val="477E6E53"/>
    <w:rsid w:val="48E90194"/>
    <w:rsid w:val="4B716869"/>
    <w:rsid w:val="4BF43BD5"/>
    <w:rsid w:val="4C0A1AB8"/>
    <w:rsid w:val="529C0EC4"/>
    <w:rsid w:val="53682E40"/>
    <w:rsid w:val="55383115"/>
    <w:rsid w:val="570840BD"/>
    <w:rsid w:val="57AD5F4E"/>
    <w:rsid w:val="5D7913E3"/>
    <w:rsid w:val="5E701B43"/>
    <w:rsid w:val="60141471"/>
    <w:rsid w:val="60477CF7"/>
    <w:rsid w:val="61563D7E"/>
    <w:rsid w:val="68C15C82"/>
    <w:rsid w:val="6D5C165E"/>
    <w:rsid w:val="6F3C35FA"/>
    <w:rsid w:val="727C3758"/>
    <w:rsid w:val="7B4C3EBE"/>
    <w:rsid w:val="7D737C1C"/>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paragraph" w:styleId="6">
    <w:name w:val="footnote text"/>
    <w:basedOn w:val="1"/>
    <w:unhideWhenUsed/>
    <w:qFormat/>
    <w:uiPriority w:val="99"/>
    <w:pPr>
      <w:snapToGrid w:val="0"/>
      <w:jc w:val="left"/>
    </w:pPr>
    <w:rPr>
      <w:sz w:val="18"/>
      <w:szCs w:val="18"/>
    </w:rPr>
  </w:style>
  <w:style w:type="character" w:styleId="9">
    <w:name w:val="Hyperlink"/>
    <w:qFormat/>
    <w:uiPriority w:val="99"/>
    <w:rPr>
      <w:color w:val="0000FF"/>
      <w:u w:val="single"/>
    </w:rPr>
  </w:style>
  <w:style w:type="character" w:styleId="10">
    <w:name w:val="footnote reference"/>
    <w:unhideWhenUsed/>
    <w:qFormat/>
    <w:uiPriority w:val="99"/>
    <w:rPr>
      <w:vertAlign w:val="superscript"/>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2023-05-18T06:27:00Z</dcterms:created>
  <dc:creator>邓思立</dc:creator>
  <cp:lastModifiedBy>邓思立</cp:lastModifiedBy>
  <dcterms:modified xsi:type="dcterms:W3CDTF">2023-05-18T06:28:26Z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