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52"/>
          <w:szCs w:val="52"/>
        </w:rPr>
      </w:pPr>
      <w:r>
        <w:rPr>
          <w:rFonts w:hint="eastAsia" w:ascii="楷体" w:hAnsi="楷体" w:eastAsia="楷体"/>
          <w:b/>
          <w:sz w:val="52"/>
          <w:szCs w:val="52"/>
        </w:rPr>
        <w:t>广州城投·禧悦府 道路指示蓝白牌&amp;包柱户外广告投放服务采购项目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hint="eastAsia" w:ascii="楷体" w:hAnsi="楷体" w:eastAsia="楷体"/>
          <w:b/>
          <w:sz w:val="84"/>
          <w:szCs w:val="84"/>
        </w:rPr>
      </w:pPr>
    </w:p>
    <w:p>
      <w:pPr>
        <w:spacing w:line="360" w:lineRule="auto"/>
        <w:jc w:val="center"/>
        <w:rPr>
          <w:rFonts w:hint="eastAsia" w:ascii="楷体" w:hAnsi="楷体" w:eastAsia="楷体"/>
          <w:b/>
          <w:sz w:val="84"/>
          <w:szCs w:val="84"/>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345"/>
        <w:rPr>
          <w:rFonts w:ascii="楷体" w:hAnsi="楷体" w:eastAsia="楷体"/>
          <w:b/>
          <w:sz w:val="36"/>
          <w:szCs w:val="36"/>
        </w:rPr>
      </w:pPr>
    </w:p>
    <w:p>
      <w:pPr>
        <w:rPr>
          <w:rFonts w:ascii="楷体" w:hAnsi="楷体" w:eastAsia="楷体"/>
          <w:b/>
          <w:sz w:val="36"/>
          <w:szCs w:val="36"/>
        </w:rPr>
      </w:pPr>
    </w:p>
    <w:p>
      <w:pPr>
        <w:jc w:val="center"/>
        <w:rPr>
          <w:rFonts w:ascii="楷体" w:hAnsi="楷体" w:eastAsia="楷体" w:cs="宋体"/>
          <w:b/>
          <w:sz w:val="36"/>
          <w:szCs w:val="36"/>
        </w:rPr>
      </w:pPr>
    </w:p>
    <w:p>
      <w:pPr>
        <w:jc w:val="center"/>
        <w:rPr>
          <w:rFonts w:hint="eastAsia" w:ascii="楷体" w:hAnsi="楷体" w:eastAsia="楷体" w:cs="宋体"/>
          <w:b/>
          <w:sz w:val="32"/>
          <w:szCs w:val="32"/>
        </w:rPr>
      </w:pPr>
    </w:p>
    <w:p>
      <w:pPr>
        <w:jc w:val="center"/>
        <w:rPr>
          <w:rFonts w:hint="eastAsia" w:ascii="楷体" w:hAnsi="楷体" w:eastAsia="楷体" w:cs="宋体"/>
          <w:b/>
          <w:sz w:val="32"/>
          <w:szCs w:val="32"/>
        </w:rPr>
      </w:pPr>
    </w:p>
    <w:p>
      <w:pPr>
        <w:spacing w:line="360" w:lineRule="auto"/>
        <w:ind w:firstLine="200"/>
        <w:jc w:val="center"/>
        <w:rPr>
          <w:rFonts w:ascii="仿宋_GB2312" w:hAnsi="宋体" w:eastAsia="仿宋_GB2312" w:cs="宋体"/>
          <w:spacing w:val="20"/>
          <w:sz w:val="32"/>
          <w:szCs w:val="32"/>
        </w:rPr>
      </w:pPr>
      <w:r>
        <w:rPr>
          <w:rFonts w:hint="eastAsia" w:ascii="楷体" w:hAnsi="楷体" w:eastAsia="楷体" w:cs="宋体"/>
          <w:b/>
          <w:sz w:val="32"/>
          <w:szCs w:val="32"/>
          <w:lang w:eastAsia="zh-CN"/>
        </w:rPr>
        <w:t>2023</w:t>
      </w:r>
      <w:r>
        <w:rPr>
          <w:rFonts w:hint="eastAsia" w:ascii="楷体" w:hAnsi="楷体" w:eastAsia="楷体" w:cs="宋体"/>
          <w:b/>
          <w:color w:val="000000"/>
          <w:sz w:val="32"/>
          <w:szCs w:val="32"/>
        </w:rPr>
        <w:t>年</w:t>
      </w:r>
      <w:r>
        <w:rPr>
          <w:rFonts w:hint="eastAsia" w:ascii="楷体" w:hAnsi="楷体" w:eastAsia="楷体" w:cs="宋体"/>
          <w:b/>
          <w:color w:val="000000"/>
          <w:sz w:val="32"/>
          <w:szCs w:val="32"/>
          <w:lang w:val="en-US" w:eastAsia="zh-CN"/>
        </w:rPr>
        <w:t>2</w:t>
      </w:r>
      <w:r>
        <w:rPr>
          <w:rFonts w:hint="eastAsia" w:ascii="楷体" w:hAnsi="楷体" w:eastAsia="楷体" w:cs="宋体"/>
          <w:b/>
          <w:color w:val="000000"/>
          <w:sz w:val="32"/>
          <w:szCs w:val="32"/>
        </w:rPr>
        <w:t>月</w:t>
      </w:r>
      <w:r>
        <w:rPr>
          <w:rFonts w:hint="eastAsia" w:ascii="楷体" w:hAnsi="楷体" w:eastAsia="楷体" w:cs="宋体"/>
          <w:b/>
          <w:color w:val="000000"/>
          <w:sz w:val="32"/>
          <w:szCs w:val="32"/>
          <w:lang w:val="en-US" w:eastAsia="zh-CN"/>
        </w:rPr>
        <w:t xml:space="preserve">3 </w:t>
      </w:r>
      <w:r>
        <w:rPr>
          <w:rFonts w:hint="eastAsia" w:ascii="楷体" w:hAnsi="楷体" w:eastAsia="楷体" w:cs="宋体"/>
          <w:b/>
          <w:color w:val="000000"/>
          <w:sz w:val="32"/>
          <w:szCs w:val="32"/>
        </w:rPr>
        <w:t>日</w:t>
      </w:r>
      <w:bookmarkStart w:id="0" w:name="_Toc334797727"/>
      <w:r>
        <w:br w:type="page"/>
      </w:r>
      <w:r>
        <w:rPr>
          <w:rFonts w:hint="eastAsia" w:ascii="仿宋_GB2312" w:eastAsia="仿宋_GB2312"/>
          <w:b/>
          <w:sz w:val="32"/>
          <w:szCs w:val="32"/>
        </w:rPr>
        <w:t>一、竞选采购公告</w:t>
      </w:r>
      <w:bookmarkEnd w:id="0"/>
    </w:p>
    <w:p>
      <w:pPr>
        <w:spacing w:line="360" w:lineRule="auto"/>
        <w:ind w:firstLine="480"/>
        <w:rPr>
          <w:rFonts w:ascii="仿宋" w:hAnsi="仿宋" w:eastAsia="仿宋" w:cs="仿宋_GB2312"/>
        </w:rPr>
      </w:pPr>
    </w:p>
    <w:p>
      <w:pPr>
        <w:spacing w:line="360" w:lineRule="auto"/>
        <w:ind w:firstLine="480"/>
        <w:rPr>
          <w:rFonts w:ascii="仿宋" w:hAnsi="仿宋" w:eastAsia="仿宋" w:cs="仿宋_GB2312"/>
          <w:sz w:val="24"/>
          <w:szCs w:val="24"/>
        </w:rPr>
      </w:pPr>
      <w:bookmarkStart w:id="1" w:name="OLE_LINK7"/>
      <w:r>
        <w:rPr>
          <w:rFonts w:hint="eastAsia" w:ascii="仿宋" w:hAnsi="仿宋" w:eastAsia="仿宋" w:cs="仿宋_GB2312"/>
          <w:sz w:val="24"/>
          <w:szCs w:val="24"/>
        </w:rPr>
        <w:t>根据有关法律法规及相关采购管理规定，本着公平、公正、公开原则，拟对</w:t>
      </w:r>
      <w:r>
        <w:rPr>
          <w:rFonts w:hint="eastAsia" w:ascii="仿宋" w:hAnsi="仿宋" w:eastAsia="仿宋" w:cs="仿宋_GB2312"/>
          <w:sz w:val="24"/>
          <w:szCs w:val="24"/>
          <w:lang w:eastAsia="zh-CN"/>
        </w:rPr>
        <w:t>广州城投·禧悦府道路指示蓝白牌&amp;包柱户外广告投放服务</w:t>
      </w:r>
      <w:r>
        <w:rPr>
          <w:rFonts w:hint="eastAsia" w:ascii="仿宋" w:hAnsi="仿宋" w:eastAsia="仿宋" w:cs="仿宋_GB2312"/>
          <w:sz w:val="24"/>
          <w:szCs w:val="24"/>
        </w:rPr>
        <w:t>项目进行公开竞选采购，按竞选采购程序选定相应服务单位，现将该竞选采购项目相关信息对外公开发布。</w:t>
      </w:r>
    </w:p>
    <w:p>
      <w:pPr>
        <w:spacing w:before="75" w:after="75" w:line="270" w:lineRule="atLeast"/>
        <w:ind w:firstLine="480"/>
        <w:jc w:val="left"/>
        <w:rPr>
          <w:rFonts w:ascii="仿宋" w:hAnsi="仿宋" w:eastAsia="仿宋" w:cs="仿宋_GB2312"/>
          <w:color w:val="000000"/>
          <w:sz w:val="24"/>
          <w:szCs w:val="24"/>
          <w:lang w:bidi="zh-CN"/>
        </w:rPr>
      </w:pPr>
      <w:r>
        <w:rPr>
          <w:rFonts w:ascii="仿宋" w:hAnsi="仿宋" w:eastAsia="仿宋" w:cs="仿宋_GB2312"/>
          <w:color w:val="000000"/>
          <w:sz w:val="24"/>
          <w:szCs w:val="24"/>
          <w:lang w:bidi="zh-CN"/>
        </w:rPr>
        <w:t>项目名称：</w:t>
      </w:r>
      <w:r>
        <w:rPr>
          <w:rFonts w:hint="eastAsia" w:ascii="仿宋" w:hAnsi="仿宋" w:eastAsia="仿宋" w:cs="仿宋_GB2312"/>
          <w:sz w:val="24"/>
          <w:szCs w:val="24"/>
          <w:lang w:eastAsia="zh-CN"/>
        </w:rPr>
        <w:t>广州城投·禧悦府道路指示蓝白牌&amp;包柱户外广告投放服务</w:t>
      </w:r>
      <w:r>
        <w:rPr>
          <w:rFonts w:hint="eastAsia" w:ascii="仿宋" w:hAnsi="仿宋" w:eastAsia="仿宋" w:cs="仿宋_GB2312"/>
          <w:sz w:val="24"/>
          <w:szCs w:val="24"/>
        </w:rPr>
        <w:t>项目</w:t>
      </w:r>
    </w:p>
    <w:p>
      <w:pPr>
        <w:spacing w:line="360" w:lineRule="auto"/>
        <w:ind w:firstLine="480"/>
        <w:rPr>
          <w:rFonts w:ascii="仿宋" w:hAnsi="仿宋" w:eastAsia="仿宋" w:cs="仿宋_GB2312"/>
          <w:sz w:val="24"/>
          <w:szCs w:val="24"/>
        </w:rPr>
      </w:pPr>
      <w:r>
        <w:rPr>
          <w:rFonts w:hint="eastAsia" w:ascii="仿宋" w:hAnsi="仿宋" w:eastAsia="仿宋" w:cs="仿宋_GB2312"/>
          <w:sz w:val="24"/>
          <w:szCs w:val="24"/>
          <w:lang w:bidi="zh-CN"/>
        </w:rPr>
        <w:t>项目内容：</w:t>
      </w:r>
      <w:r>
        <w:rPr>
          <w:rFonts w:hint="eastAsia" w:ascii="仿宋" w:hAnsi="仿宋" w:eastAsia="仿宋" w:cs="仿宋_GB2312"/>
          <w:sz w:val="24"/>
          <w:szCs w:val="24"/>
        </w:rPr>
        <w:t>服务单位需按照招选人要求实现</w:t>
      </w:r>
      <w:r>
        <w:rPr>
          <w:rFonts w:hint="eastAsia" w:ascii="仿宋" w:hAnsi="仿宋" w:eastAsia="仿宋" w:cs="仿宋_GB2312"/>
          <w:sz w:val="24"/>
          <w:szCs w:val="24"/>
          <w:lang w:eastAsia="zh-CN"/>
        </w:rPr>
        <w:t>广州城投·禧悦府道路指示蓝白牌&amp;包柱户外广告投放服务</w:t>
      </w:r>
      <w:r>
        <w:rPr>
          <w:rFonts w:hint="eastAsia" w:ascii="仿宋" w:hAnsi="仿宋" w:eastAsia="仿宋" w:cs="仿宋_GB2312"/>
          <w:sz w:val="24"/>
          <w:szCs w:val="24"/>
        </w:rPr>
        <w:t>项目（包括但不限于）：</w:t>
      </w:r>
    </w:p>
    <w:p>
      <w:pPr>
        <w:spacing w:line="360" w:lineRule="auto"/>
        <w:ind w:firstLine="480"/>
        <w:rPr>
          <w:rFonts w:ascii="仿宋" w:hAnsi="仿宋" w:eastAsia="仿宋" w:cs="仿宋_GB2312"/>
          <w:sz w:val="24"/>
          <w:szCs w:val="24"/>
        </w:rPr>
      </w:pPr>
      <w:r>
        <w:rPr>
          <w:rFonts w:hint="eastAsia" w:ascii="仿宋" w:hAnsi="仿宋" w:eastAsia="仿宋" w:cs="仿宋_GB2312"/>
          <w:sz w:val="24"/>
          <w:szCs w:val="24"/>
        </w:rPr>
        <w:t>1.完成招选人活动区域的现场勘查。</w:t>
      </w:r>
    </w:p>
    <w:p>
      <w:pPr>
        <w:spacing w:line="360" w:lineRule="auto"/>
        <w:ind w:firstLine="480"/>
        <w:rPr>
          <w:rFonts w:ascii="仿宋" w:hAnsi="仿宋" w:eastAsia="仿宋" w:cs="仿宋_GB2312"/>
          <w:sz w:val="24"/>
          <w:szCs w:val="24"/>
        </w:rPr>
      </w:pPr>
      <w:r>
        <w:rPr>
          <w:rFonts w:hint="eastAsia" w:ascii="仿宋" w:hAnsi="仿宋" w:eastAsia="仿宋" w:cs="仿宋_GB2312"/>
          <w:sz w:val="24"/>
          <w:szCs w:val="24"/>
        </w:rPr>
        <w:t>2.其他招选人认为必要的内容。</w:t>
      </w:r>
    </w:p>
    <w:p>
      <w:pPr>
        <w:spacing w:line="360" w:lineRule="auto"/>
        <w:ind w:firstLine="480"/>
        <w:rPr>
          <w:rFonts w:ascii="仿宋" w:hAnsi="仿宋" w:eastAsia="仿宋" w:cs="仿宋_GB2312"/>
          <w:sz w:val="24"/>
          <w:szCs w:val="24"/>
          <w:lang w:bidi="zh-CN"/>
        </w:rPr>
      </w:pPr>
      <w:r>
        <w:rPr>
          <w:rFonts w:hint="eastAsia" w:ascii="仿宋" w:hAnsi="仿宋" w:eastAsia="仿宋" w:cs="仿宋_GB2312"/>
          <w:sz w:val="24"/>
          <w:szCs w:val="24"/>
          <w:lang w:bidi="zh-CN"/>
        </w:rPr>
        <w:t>项目限价：￥</w:t>
      </w:r>
      <w:r>
        <w:rPr>
          <w:rFonts w:hint="eastAsia" w:ascii="仿宋" w:hAnsi="仿宋" w:eastAsia="仿宋" w:cs="仿宋_GB2312"/>
          <w:sz w:val="24"/>
          <w:szCs w:val="24"/>
          <w:lang w:val="en-US" w:eastAsia="zh-CN"/>
        </w:rPr>
        <w:t>442560</w:t>
      </w:r>
      <w:r>
        <w:rPr>
          <w:rFonts w:hint="eastAsia" w:ascii="仿宋" w:hAnsi="仿宋" w:eastAsia="仿宋" w:cs="仿宋_GB2312"/>
          <w:sz w:val="24"/>
          <w:szCs w:val="24"/>
        </w:rPr>
        <w:t>元</w:t>
      </w:r>
    </w:p>
    <w:p>
      <w:pPr>
        <w:spacing w:line="360" w:lineRule="auto"/>
        <w:ind w:firstLine="480"/>
        <w:rPr>
          <w:rFonts w:ascii="仿宋" w:hAnsi="仿宋" w:eastAsia="仿宋" w:cs="仿宋_GB2312"/>
          <w:sz w:val="24"/>
          <w:szCs w:val="24"/>
        </w:rPr>
      </w:pPr>
      <w:r>
        <w:rPr>
          <w:rFonts w:hint="eastAsia" w:ascii="仿宋" w:hAnsi="仿宋" w:eastAsia="仿宋" w:cs="仿宋_GB2312"/>
          <w:sz w:val="24"/>
          <w:szCs w:val="24"/>
        </w:rPr>
        <w:t>竞投人</w:t>
      </w:r>
      <w:r>
        <w:rPr>
          <w:rFonts w:hint="eastAsia" w:ascii="仿宋" w:hAnsi="仿宋" w:eastAsia="仿宋" w:cs="仿宋_GB2312"/>
          <w:sz w:val="24"/>
          <w:szCs w:val="24"/>
          <w:lang w:bidi="zh-CN"/>
        </w:rPr>
        <w:t>资格</w:t>
      </w:r>
      <w:r>
        <w:rPr>
          <w:rFonts w:hint="eastAsia" w:ascii="仿宋" w:hAnsi="仿宋" w:eastAsia="仿宋" w:cs="仿宋_GB2312"/>
          <w:sz w:val="24"/>
          <w:szCs w:val="24"/>
        </w:rPr>
        <w:t>：竞投人须具备实施采购项目所需的配套活动物品经营范围；</w:t>
      </w:r>
    </w:p>
    <w:p>
      <w:pPr>
        <w:spacing w:line="360" w:lineRule="auto"/>
        <w:ind w:firstLine="480"/>
        <w:rPr>
          <w:rFonts w:hint="eastAsia" w:ascii="仿宋" w:hAnsi="仿宋" w:eastAsia="仿宋" w:cs="仿宋_GB2312"/>
          <w:sz w:val="24"/>
          <w:szCs w:val="24"/>
        </w:rPr>
      </w:pPr>
      <w:r>
        <w:rPr>
          <w:rFonts w:hint="eastAsia" w:ascii="仿宋" w:hAnsi="仿宋" w:eastAsia="仿宋" w:cs="仿宋_GB2312"/>
          <w:sz w:val="24"/>
          <w:szCs w:val="24"/>
        </w:rPr>
        <w:t>公示时间：</w:t>
      </w:r>
      <w:r>
        <w:rPr>
          <w:rFonts w:hint="eastAsia" w:ascii="仿宋" w:hAnsi="仿宋" w:eastAsia="仿宋" w:cs="仿宋_GB2312"/>
          <w:sz w:val="24"/>
          <w:szCs w:val="24"/>
          <w:lang w:eastAsia="zh-CN"/>
        </w:rPr>
        <w:t>2023</w:t>
      </w:r>
      <w:r>
        <w:rPr>
          <w:rFonts w:hint="eastAsia" w:ascii="仿宋" w:hAnsi="仿宋" w:eastAsia="仿宋" w:cs="仿宋_GB2312"/>
          <w:sz w:val="24"/>
          <w:szCs w:val="24"/>
        </w:rPr>
        <w:t>年</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4</w:t>
      </w:r>
      <w:r>
        <w:rPr>
          <w:rFonts w:hint="eastAsia" w:ascii="仿宋" w:hAnsi="仿宋" w:eastAsia="仿宋" w:cs="仿宋_GB2312"/>
          <w:sz w:val="24"/>
          <w:szCs w:val="24"/>
        </w:rPr>
        <w:t>日起至</w:t>
      </w:r>
      <w:r>
        <w:rPr>
          <w:rFonts w:hint="eastAsia" w:ascii="仿宋" w:hAnsi="仿宋" w:eastAsia="仿宋" w:cs="仿宋_GB2312"/>
          <w:sz w:val="24"/>
          <w:szCs w:val="24"/>
          <w:lang w:eastAsia="zh-CN"/>
        </w:rPr>
        <w:t>2023</w:t>
      </w:r>
      <w:r>
        <w:rPr>
          <w:rFonts w:hint="eastAsia" w:ascii="仿宋" w:hAnsi="仿宋" w:eastAsia="仿宋" w:cs="仿宋_GB2312"/>
          <w:sz w:val="24"/>
          <w:szCs w:val="24"/>
        </w:rPr>
        <w:t xml:space="preserve"> 年 </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7日</w:t>
      </w:r>
      <w:r>
        <w:rPr>
          <w:rFonts w:hint="eastAsia" w:ascii="仿宋" w:hAnsi="仿宋" w:eastAsia="仿宋" w:cs="仿宋_GB2312"/>
          <w:sz w:val="24"/>
          <w:szCs w:val="24"/>
        </w:rPr>
        <w:t>止。</w:t>
      </w:r>
    </w:p>
    <w:p>
      <w:pPr>
        <w:spacing w:line="360" w:lineRule="auto"/>
        <w:ind w:firstLine="480"/>
        <w:rPr>
          <w:rFonts w:hint="eastAsia" w:ascii="仿宋" w:hAnsi="仿宋" w:eastAsia="仿宋" w:cs="仿宋_GB2312"/>
          <w:sz w:val="24"/>
          <w:szCs w:val="24"/>
        </w:rPr>
      </w:pPr>
      <w:r>
        <w:rPr>
          <w:rFonts w:hint="eastAsia" w:ascii="仿宋" w:hAnsi="仿宋" w:eastAsia="仿宋" w:cs="仿宋_GB2312"/>
          <w:sz w:val="24"/>
          <w:szCs w:val="24"/>
        </w:rPr>
        <w:t>竞投文件递交受理时间自</w:t>
      </w:r>
      <w:r>
        <w:rPr>
          <w:rFonts w:hint="eastAsia" w:ascii="仿宋" w:hAnsi="仿宋" w:eastAsia="仿宋" w:cs="仿宋_GB2312"/>
          <w:sz w:val="24"/>
          <w:szCs w:val="24"/>
          <w:lang w:eastAsia="zh-CN"/>
        </w:rPr>
        <w:t>2023</w:t>
      </w:r>
      <w:r>
        <w:rPr>
          <w:rFonts w:hint="eastAsia" w:ascii="仿宋" w:hAnsi="仿宋" w:eastAsia="仿宋" w:cs="仿宋_GB2312"/>
          <w:sz w:val="24"/>
          <w:szCs w:val="24"/>
        </w:rPr>
        <w:t xml:space="preserve"> 年</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 xml:space="preserve"> 月</w:t>
      </w:r>
      <w:r>
        <w:rPr>
          <w:rFonts w:hint="eastAsia" w:ascii="仿宋" w:hAnsi="仿宋" w:eastAsia="仿宋" w:cs="仿宋_GB2312"/>
          <w:sz w:val="24"/>
          <w:szCs w:val="24"/>
          <w:lang w:val="en-US" w:eastAsia="zh-CN"/>
        </w:rPr>
        <w:t>8</w:t>
      </w:r>
      <w:r>
        <w:rPr>
          <w:rFonts w:hint="eastAsia" w:ascii="仿宋" w:hAnsi="仿宋" w:eastAsia="仿宋" w:cs="仿宋_GB2312"/>
          <w:sz w:val="24"/>
          <w:szCs w:val="24"/>
        </w:rPr>
        <w:t>日</w:t>
      </w:r>
      <w:r>
        <w:rPr>
          <w:rFonts w:hint="eastAsia" w:ascii="仿宋" w:hAnsi="仿宋" w:eastAsia="仿宋" w:cs="仿宋_GB2312"/>
          <w:sz w:val="24"/>
          <w:szCs w:val="24"/>
          <w:lang w:val="en-US" w:eastAsia="zh-CN"/>
        </w:rPr>
        <w:t>下</w:t>
      </w:r>
      <w:r>
        <w:rPr>
          <w:rFonts w:hint="eastAsia" w:ascii="仿宋" w:hAnsi="仿宋" w:eastAsia="仿宋" w:cs="仿宋_GB2312"/>
          <w:sz w:val="24"/>
          <w:szCs w:val="24"/>
        </w:rPr>
        <w:t>午</w:t>
      </w:r>
      <w:r>
        <w:rPr>
          <w:rFonts w:hint="eastAsia" w:ascii="仿宋" w:hAnsi="仿宋" w:eastAsia="仿宋" w:cs="仿宋_GB2312"/>
          <w:sz w:val="24"/>
          <w:szCs w:val="24"/>
          <w:lang w:val="en-US" w:eastAsia="zh-CN"/>
        </w:rPr>
        <w:t>15</w:t>
      </w:r>
      <w:r>
        <w:rPr>
          <w:rFonts w:hint="eastAsia" w:ascii="仿宋" w:hAnsi="仿宋" w:eastAsia="仿宋" w:cs="仿宋_GB2312"/>
          <w:sz w:val="24"/>
          <w:szCs w:val="24"/>
        </w:rPr>
        <w:t>：</w:t>
      </w:r>
      <w:r>
        <w:rPr>
          <w:rFonts w:hint="eastAsia" w:ascii="仿宋" w:hAnsi="仿宋" w:eastAsia="仿宋" w:cs="仿宋_GB2312"/>
          <w:sz w:val="24"/>
          <w:szCs w:val="24"/>
          <w:lang w:val="en-US" w:eastAsia="zh-CN"/>
        </w:rPr>
        <w:t>0</w:t>
      </w:r>
      <w:r>
        <w:rPr>
          <w:rFonts w:hint="eastAsia" w:ascii="仿宋" w:hAnsi="仿宋" w:eastAsia="仿宋" w:cs="仿宋_GB2312"/>
          <w:sz w:val="24"/>
          <w:szCs w:val="24"/>
        </w:rPr>
        <w:t>0起至</w:t>
      </w:r>
      <w:r>
        <w:rPr>
          <w:rFonts w:hint="eastAsia" w:ascii="仿宋" w:hAnsi="仿宋" w:eastAsia="仿宋" w:cs="仿宋_GB2312"/>
          <w:sz w:val="24"/>
          <w:szCs w:val="24"/>
          <w:lang w:val="en-US" w:eastAsia="zh-CN"/>
        </w:rPr>
        <w:t>15</w:t>
      </w:r>
      <w:r>
        <w:rPr>
          <w:rFonts w:hint="eastAsia" w:ascii="仿宋" w:hAnsi="仿宋" w:eastAsia="仿宋" w:cs="仿宋_GB2312"/>
          <w:sz w:val="24"/>
          <w:szCs w:val="24"/>
        </w:rPr>
        <w:t>:</w:t>
      </w:r>
      <w:r>
        <w:rPr>
          <w:rFonts w:hint="eastAsia" w:ascii="仿宋" w:hAnsi="仿宋" w:eastAsia="仿宋" w:cs="仿宋_GB2312"/>
          <w:sz w:val="24"/>
          <w:szCs w:val="24"/>
          <w:lang w:val="en-US" w:eastAsia="zh-CN"/>
        </w:rPr>
        <w:t>3</w:t>
      </w:r>
      <w:r>
        <w:rPr>
          <w:rFonts w:hint="eastAsia" w:ascii="仿宋" w:hAnsi="仿宋" w:eastAsia="仿宋" w:cs="仿宋_GB2312"/>
          <w:sz w:val="24"/>
          <w:szCs w:val="24"/>
        </w:rPr>
        <w:t>0截止；逾期不予受理。</w:t>
      </w:r>
    </w:p>
    <w:p>
      <w:pPr>
        <w:spacing w:line="360" w:lineRule="auto"/>
        <w:ind w:firstLine="480"/>
        <w:rPr>
          <w:rFonts w:hint="eastAsia" w:ascii="仿宋" w:hAnsi="仿宋" w:eastAsia="仿宋" w:cs="仿宋_GB2312"/>
          <w:sz w:val="24"/>
          <w:szCs w:val="24"/>
        </w:rPr>
      </w:pPr>
      <w:r>
        <w:rPr>
          <w:rFonts w:hint="eastAsia" w:ascii="仿宋" w:hAnsi="仿宋" w:eastAsia="仿宋" w:cs="仿宋_GB2312"/>
          <w:sz w:val="24"/>
          <w:szCs w:val="24"/>
        </w:rPr>
        <w:t>评审时间：</w:t>
      </w:r>
      <w:r>
        <w:rPr>
          <w:rFonts w:hint="eastAsia" w:ascii="仿宋" w:hAnsi="仿宋" w:eastAsia="仿宋" w:cs="仿宋_GB2312"/>
          <w:sz w:val="24"/>
          <w:szCs w:val="24"/>
          <w:lang w:eastAsia="zh-CN"/>
        </w:rPr>
        <w:t>2023</w:t>
      </w:r>
      <w:r>
        <w:rPr>
          <w:rFonts w:hint="eastAsia" w:ascii="仿宋" w:hAnsi="仿宋" w:eastAsia="仿宋" w:cs="仿宋_GB2312"/>
          <w:sz w:val="24"/>
          <w:szCs w:val="24"/>
        </w:rPr>
        <w:t>年</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8</w:t>
      </w:r>
      <w:r>
        <w:rPr>
          <w:rFonts w:hint="eastAsia" w:ascii="仿宋" w:hAnsi="仿宋" w:eastAsia="仿宋" w:cs="仿宋_GB2312"/>
          <w:sz w:val="24"/>
          <w:szCs w:val="24"/>
        </w:rPr>
        <w:t>日1</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：00</w:t>
      </w:r>
      <w:r>
        <w:rPr>
          <w:rFonts w:hint="eastAsia" w:ascii="仿宋" w:hAnsi="仿宋" w:eastAsia="仿宋" w:cs="仿宋_GB2312"/>
          <w:sz w:val="24"/>
          <w:szCs w:val="24"/>
        </w:rPr>
        <w:tab/>
      </w:r>
    </w:p>
    <w:p>
      <w:pPr>
        <w:spacing w:line="360" w:lineRule="auto"/>
        <w:ind w:firstLine="48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sz w:val="24"/>
          <w:szCs w:val="24"/>
        </w:rPr>
        <w:t>请意向竞投单位按时参与竞投。</w:t>
      </w:r>
    </w:p>
    <w:p>
      <w:pPr>
        <w:spacing w:line="360" w:lineRule="auto"/>
        <w:ind w:firstLine="480"/>
        <w:rPr>
          <w:rFonts w:hint="eastAsia" w:ascii="仿宋" w:hAnsi="仿宋" w:eastAsia="仿宋" w:cs="仿宋_GB2312"/>
          <w:sz w:val="24"/>
          <w:szCs w:val="24"/>
        </w:rPr>
      </w:pPr>
      <w:r>
        <w:rPr>
          <w:rFonts w:hint="eastAsia" w:ascii="仿宋" w:hAnsi="仿宋" w:eastAsia="仿宋" w:cs="仿宋_GB2312"/>
          <w:sz w:val="24"/>
          <w:szCs w:val="24"/>
        </w:rPr>
        <w:t>采购人名称：广州市城壹房地产顾问有限公司</w:t>
      </w:r>
    </w:p>
    <w:p>
      <w:pPr>
        <w:spacing w:line="360" w:lineRule="auto"/>
        <w:ind w:firstLine="480"/>
        <w:rPr>
          <w:rFonts w:hint="eastAsia" w:ascii="仿宋" w:hAnsi="仿宋" w:eastAsia="仿宋" w:cs="仿宋_GB2312"/>
          <w:sz w:val="24"/>
          <w:szCs w:val="24"/>
          <w:lang w:val="en-US" w:eastAsia="zh-CN"/>
        </w:rPr>
      </w:pPr>
      <w:r>
        <w:rPr>
          <w:rFonts w:hint="eastAsia" w:ascii="仿宋" w:hAnsi="仿宋" w:eastAsia="仿宋" w:cs="仿宋_GB2312"/>
          <w:sz w:val="24"/>
          <w:szCs w:val="24"/>
        </w:rPr>
        <w:t>采购人地址：广州市</w:t>
      </w:r>
      <w:r>
        <w:rPr>
          <w:rFonts w:hint="eastAsia" w:ascii="仿宋" w:hAnsi="仿宋" w:eastAsia="仿宋" w:cs="仿宋_GB2312"/>
          <w:sz w:val="24"/>
          <w:szCs w:val="24"/>
          <w:lang w:val="en-US" w:eastAsia="zh-CN"/>
        </w:rPr>
        <w:t>人民北路686号22楼</w:t>
      </w:r>
    </w:p>
    <w:p>
      <w:pPr>
        <w:spacing w:line="360" w:lineRule="auto"/>
        <w:ind w:firstLine="480"/>
        <w:rPr>
          <w:rFonts w:hint="eastAsia" w:ascii="仿宋" w:hAnsi="仿宋" w:eastAsia="仿宋" w:cs="仿宋_GB2312"/>
          <w:sz w:val="24"/>
          <w:szCs w:val="24"/>
          <w:lang w:eastAsia="zh-CN"/>
        </w:rPr>
      </w:pPr>
      <w:r>
        <w:rPr>
          <w:rFonts w:hint="eastAsia" w:ascii="仿宋" w:hAnsi="仿宋" w:eastAsia="仿宋" w:cs="仿宋_GB2312"/>
          <w:sz w:val="24"/>
          <w:szCs w:val="24"/>
        </w:rPr>
        <w:t>采购联系人：</w:t>
      </w:r>
      <w:r>
        <w:rPr>
          <w:rFonts w:hint="eastAsia" w:ascii="仿宋" w:hAnsi="仿宋" w:eastAsia="仿宋" w:cs="仿宋_GB2312"/>
          <w:sz w:val="24"/>
          <w:szCs w:val="24"/>
          <w:lang w:val="en-US" w:eastAsia="zh-CN"/>
        </w:rPr>
        <w:t>黄嘉辉</w:t>
      </w:r>
    </w:p>
    <w:p>
      <w:pPr>
        <w:spacing w:line="360" w:lineRule="auto"/>
        <w:ind w:firstLine="480"/>
        <w:rPr>
          <w:rFonts w:hint="default" w:ascii="仿宋" w:hAnsi="仿宋" w:eastAsia="仿宋" w:cs="仿宋_GB2312"/>
          <w:sz w:val="24"/>
          <w:szCs w:val="24"/>
          <w:lang w:val="en-US"/>
        </w:rPr>
      </w:pPr>
      <w:r>
        <w:rPr>
          <w:rFonts w:hint="eastAsia" w:ascii="仿宋" w:hAnsi="仿宋" w:eastAsia="仿宋" w:cs="仿宋_GB2312"/>
          <w:sz w:val="24"/>
          <w:szCs w:val="24"/>
        </w:rPr>
        <w:t>联系电话：</w:t>
      </w:r>
      <w:r>
        <w:rPr>
          <w:rFonts w:hint="eastAsia" w:ascii="仿宋" w:hAnsi="仿宋" w:eastAsia="仿宋" w:cs="仿宋_GB2312"/>
          <w:sz w:val="24"/>
          <w:szCs w:val="24"/>
          <w:lang w:eastAsia="zh-CN"/>
        </w:rPr>
        <w:t>1</w:t>
      </w:r>
      <w:r>
        <w:rPr>
          <w:rFonts w:hint="eastAsia" w:ascii="仿宋" w:hAnsi="仿宋" w:eastAsia="仿宋" w:cs="仿宋_GB2312"/>
          <w:sz w:val="24"/>
          <w:szCs w:val="24"/>
          <w:lang w:val="en-US" w:eastAsia="zh-CN"/>
        </w:rPr>
        <w:t>8126816168</w:t>
      </w:r>
    </w:p>
    <w:p>
      <w:pPr>
        <w:spacing w:line="360" w:lineRule="auto"/>
        <w:rPr>
          <w:rFonts w:ascii="仿宋" w:hAnsi="仿宋" w:eastAsia="仿宋" w:cs="仿宋_GB2312"/>
          <w:sz w:val="24"/>
          <w:szCs w:val="24"/>
        </w:rPr>
      </w:pPr>
      <w:r>
        <w:rPr>
          <w:rFonts w:hint="eastAsia" w:ascii="仿宋" w:hAnsi="仿宋" w:eastAsia="仿宋" w:cs="仿宋_GB2312"/>
          <w:sz w:val="24"/>
          <w:szCs w:val="24"/>
        </w:rPr>
        <w:t xml:space="preserve">    </w:t>
      </w:r>
    </w:p>
    <w:p>
      <w:pPr>
        <w:spacing w:line="360" w:lineRule="auto"/>
        <w:ind w:right="480" w:firstLine="0"/>
        <w:rPr>
          <w:rFonts w:ascii="仿宋" w:hAnsi="仿宋" w:eastAsia="仿宋" w:cs="仿宋_GB2312"/>
          <w:sz w:val="24"/>
          <w:szCs w:val="24"/>
        </w:rPr>
      </w:pPr>
      <w:r>
        <w:rPr>
          <w:rFonts w:hint="eastAsia" w:ascii="仿宋" w:hAnsi="仿宋" w:eastAsia="仿宋" w:cs="仿宋_GB2312"/>
          <w:sz w:val="24"/>
          <w:szCs w:val="24"/>
        </w:rPr>
        <w:t xml:space="preserve">                           </w:t>
      </w:r>
    </w:p>
    <w:p>
      <w:pPr>
        <w:spacing w:line="360" w:lineRule="auto"/>
        <w:ind w:firstLine="200"/>
        <w:jc w:val="right"/>
        <w:rPr>
          <w:rFonts w:ascii="仿宋" w:hAnsi="仿宋" w:eastAsia="仿宋" w:cs="仿宋_GB2312"/>
          <w:sz w:val="24"/>
          <w:szCs w:val="24"/>
        </w:rPr>
      </w:pPr>
      <w:r>
        <w:rPr>
          <w:rFonts w:hint="eastAsia" w:ascii="仿宋" w:hAnsi="仿宋" w:eastAsia="仿宋" w:cs="仿宋_GB2312"/>
          <w:sz w:val="24"/>
          <w:szCs w:val="24"/>
        </w:rPr>
        <w:t xml:space="preserve">   广州市城壹房地产顾问有限公司</w:t>
      </w:r>
    </w:p>
    <w:p>
      <w:pPr>
        <w:spacing w:line="360" w:lineRule="auto"/>
        <w:ind w:firstLine="200"/>
        <w:jc w:val="left"/>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2023</w:t>
      </w:r>
      <w:r>
        <w:rPr>
          <w:rFonts w:hint="eastAsia" w:ascii="仿宋" w:hAnsi="仿宋" w:eastAsia="仿宋" w:cs="仿宋_GB2312"/>
          <w:sz w:val="24"/>
          <w:szCs w:val="24"/>
        </w:rPr>
        <w:t>年</w:t>
      </w:r>
      <w:r>
        <w:rPr>
          <w:rFonts w:hint="eastAsia" w:ascii="仿宋" w:hAnsi="仿宋" w:eastAsia="仿宋" w:cs="仿宋_GB2312"/>
          <w:sz w:val="24"/>
          <w:szCs w:val="24"/>
          <w:lang w:val="en-US" w:eastAsia="zh-CN"/>
        </w:rPr>
        <w:t xml:space="preserve"> 2</w:t>
      </w:r>
      <w:r>
        <w:rPr>
          <w:rFonts w:hint="eastAsia" w:ascii="仿宋" w:hAnsi="仿宋" w:eastAsia="仿宋" w:cs="仿宋_GB2312"/>
          <w:sz w:val="24"/>
          <w:szCs w:val="24"/>
        </w:rPr>
        <w:t>月</w:t>
      </w:r>
      <w:bookmarkEnd w:id="1"/>
      <w:r>
        <w:rPr>
          <w:rFonts w:hint="eastAsia" w:ascii="仿宋" w:hAnsi="仿宋" w:eastAsia="仿宋" w:cs="仿宋_GB2312"/>
          <w:sz w:val="24"/>
          <w:szCs w:val="24"/>
          <w:lang w:val="en-US" w:eastAsia="zh-CN"/>
        </w:rPr>
        <w:t xml:space="preserve">3 </w:t>
      </w:r>
      <w:r>
        <w:rPr>
          <w:rFonts w:hint="eastAsia" w:ascii="仿宋" w:hAnsi="仿宋" w:eastAsia="仿宋" w:cs="仿宋_GB2312"/>
          <w:sz w:val="24"/>
          <w:szCs w:val="24"/>
        </w:rPr>
        <w:t>日</w:t>
      </w:r>
      <w:bookmarkStart w:id="2" w:name="_Toc130180737"/>
      <w:bookmarkStart w:id="3" w:name="_Toc130180923"/>
      <w:bookmarkStart w:id="4" w:name="_Toc334797738"/>
      <w:bookmarkStart w:id="5" w:name="_Toc130180842"/>
      <w:bookmarkStart w:id="6" w:name="_Toc238282338"/>
    </w:p>
    <w:p>
      <w:pPr>
        <w:spacing w:line="360" w:lineRule="auto"/>
        <w:ind w:firstLine="200"/>
        <w:jc w:val="center"/>
        <w:rPr>
          <w:rFonts w:ascii="仿宋_GB2312" w:eastAsia="仿宋_GB2312"/>
          <w:b/>
          <w:sz w:val="32"/>
          <w:szCs w:val="32"/>
        </w:rPr>
      </w:pPr>
      <w: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5"/>
        <w:tblW w:w="8473"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700"/>
        <w:gridCol w:w="62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firstLine="0"/>
              <w:jc w:val="left"/>
              <w:rPr>
                <w:rFonts w:ascii="仿宋" w:hAnsi="仿宋" w:eastAsia="仿宋"/>
              </w:rPr>
            </w:pPr>
            <w:r>
              <w:rPr>
                <w:rFonts w:hint="eastAsia" w:ascii="仿宋" w:hAnsi="仿宋" w:eastAsia="仿宋"/>
              </w:rPr>
              <w:t>项号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内    容</w:t>
            </w:r>
          </w:p>
        </w:tc>
        <w:tc>
          <w:tcPr>
            <w:tcW w:w="6225"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rPr>
            </w:pPr>
            <w:r>
              <w:rPr>
                <w:rFonts w:hint="eastAsia" w:ascii="仿宋" w:hAnsi="仿宋" w:eastAsia="仿宋"/>
              </w:rPr>
              <w:t>说明与要求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采购项目</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rPr>
            </w:pPr>
            <w:r>
              <w:rPr>
                <w:rFonts w:hint="eastAsia" w:ascii="仿宋" w:hAnsi="仿宋" w:eastAsia="仿宋"/>
                <w:lang w:eastAsia="zh-CN"/>
              </w:rPr>
              <w:t>广州城投·禧悦府道路指示蓝白牌&amp;包柱户外广告投放服务</w:t>
            </w:r>
            <w:r>
              <w:rPr>
                <w:rFonts w:hint="eastAsia" w:ascii="仿宋" w:hAnsi="仿宋" w:eastAsia="仿宋"/>
              </w:rPr>
              <w:t>项目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采购单位</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广州市城壹房地产顾问有限公司</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3</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项目地点</w:t>
            </w:r>
          </w:p>
        </w:tc>
        <w:tc>
          <w:tcPr>
            <w:tcW w:w="6225"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rPr>
            </w:pPr>
            <w:r>
              <w:rPr>
                <w:rFonts w:hint="eastAsia" w:ascii="仿宋" w:hAnsi="仿宋" w:eastAsia="仿宋"/>
              </w:rPr>
              <w:t>广州市增城区永宁街道长岗村S3101229A19078号地块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4</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采购方式</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公开竞选采购</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5</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采购范围、内容</w:t>
            </w:r>
          </w:p>
        </w:tc>
        <w:tc>
          <w:tcPr>
            <w:tcW w:w="6225"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 w:hAnsi="仿宋" w:eastAsia="仿宋" w:cs="Times New Roman"/>
              </w:rPr>
            </w:pPr>
            <w:r>
              <w:rPr>
                <w:rFonts w:hint="eastAsia" w:ascii="仿宋" w:hAnsi="仿宋" w:eastAsia="仿宋" w:cs="Times New Roman"/>
              </w:rPr>
              <w:t>具体采购内容范围及要求详见后附报价单或后附协议。</w:t>
            </w:r>
          </w:p>
          <w:p>
            <w:pPr>
              <w:pStyle w:val="4"/>
              <w:spacing w:line="240" w:lineRule="atLeast"/>
              <w:jc w:val="both"/>
              <w:rPr>
                <w:rFonts w:ascii="仿宋" w:hAnsi="仿宋" w:eastAsia="仿宋" w:cs="Times New Roman"/>
              </w:rPr>
            </w:pPr>
            <w:r>
              <w:rPr>
                <w:rFonts w:hint="eastAsia" w:ascii="仿宋" w:hAnsi="仿宋" w:eastAsia="仿宋" w:cs="Times New Roman"/>
              </w:rPr>
              <w:t>双方的权利义务、合同期限、费用及支付方式等详见后附协议内容；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6</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竞投资格要求</w:t>
            </w:r>
          </w:p>
        </w:tc>
        <w:tc>
          <w:tcPr>
            <w:tcW w:w="6225" w:type="dxa"/>
            <w:tcBorders>
              <w:top w:val="single" w:color="auto" w:sz="4" w:space="0"/>
              <w:left w:val="single" w:color="auto" w:sz="4" w:space="0"/>
              <w:bottom w:val="single" w:color="auto" w:sz="4" w:space="0"/>
              <w:right w:val="single" w:color="auto" w:sz="4" w:space="0"/>
            </w:tcBorders>
            <w:vAlign w:val="center"/>
          </w:tcPr>
          <w:p>
            <w:pPr>
              <w:pStyle w:val="31"/>
              <w:numPr>
                <w:ilvl w:val="0"/>
                <w:numId w:val="1"/>
              </w:numPr>
              <w:spacing w:line="240" w:lineRule="atLeast"/>
              <w:rPr>
                <w:rFonts w:ascii="仿宋" w:hAnsi="仿宋" w:eastAsia="仿宋"/>
              </w:rPr>
            </w:pPr>
            <w:r>
              <w:rPr>
                <w:rFonts w:hint="eastAsia" w:ascii="仿宋" w:hAnsi="仿宋" w:eastAsia="仿宋"/>
              </w:rPr>
              <w:t>竞投人必须是国内合法注册的法人或其他组织, 并已办理合法税务登记，具有开具相应发票能力；</w:t>
            </w:r>
          </w:p>
          <w:p>
            <w:pPr>
              <w:pStyle w:val="31"/>
              <w:numPr>
                <w:ilvl w:val="0"/>
                <w:numId w:val="1"/>
              </w:numPr>
              <w:spacing w:line="240" w:lineRule="atLeast"/>
              <w:rPr>
                <w:rFonts w:ascii="仿宋" w:hAnsi="仿宋" w:eastAsia="仿宋"/>
              </w:rPr>
            </w:pPr>
            <w:r>
              <w:rPr>
                <w:rFonts w:hint="eastAsia" w:ascii="仿宋" w:hAnsi="仿宋" w:eastAsia="仿宋"/>
              </w:rPr>
              <w:t>竞投人须具备实施采购项目所需的配套活动物品经营范围；</w:t>
            </w:r>
          </w:p>
          <w:p>
            <w:pPr>
              <w:pStyle w:val="20"/>
              <w:numPr>
                <w:ilvl w:val="0"/>
                <w:numId w:val="1"/>
              </w:numPr>
              <w:spacing w:line="240" w:lineRule="atLeast"/>
              <w:rPr>
                <w:rFonts w:ascii="仿宋" w:hAnsi="仿宋" w:eastAsia="仿宋"/>
              </w:rPr>
            </w:pPr>
            <w:r>
              <w:rPr>
                <w:rFonts w:hint="eastAsia" w:ascii="仿宋" w:hAnsi="仿宋" w:eastAsia="仿宋"/>
              </w:rPr>
              <w:t>本项目不接受联合体竞投。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7</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承包方式</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按实结算形式；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8</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质量标准</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 xml:space="preserve">合格；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9</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报价方式</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 xml:space="preserve">根据采购人要求的报价格式密封报价；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最高限价</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竞投总价不得超过人民币</w:t>
            </w:r>
            <w:r>
              <w:rPr>
                <w:rFonts w:hint="eastAsia" w:ascii="仿宋" w:hAnsi="仿宋" w:eastAsia="仿宋"/>
                <w:lang w:eastAsia="zh-CN"/>
              </w:rPr>
              <w:t>肆拾肆万贰仟伍佰陆拾</w:t>
            </w:r>
            <w:r>
              <w:rPr>
                <w:rFonts w:hint="eastAsia" w:ascii="仿宋" w:hAnsi="仿宋" w:eastAsia="仿宋"/>
              </w:rPr>
              <w:t>元整（￥</w:t>
            </w:r>
            <w:r>
              <w:rPr>
                <w:rFonts w:hint="eastAsia" w:ascii="仿宋" w:hAnsi="仿宋" w:eastAsia="仿宋" w:cs="仿宋_GB2312"/>
                <w:sz w:val="24"/>
                <w:szCs w:val="24"/>
                <w:lang w:val="en-US" w:eastAsia="zh-CN"/>
              </w:rPr>
              <w:t>442560</w:t>
            </w:r>
            <w:r>
              <w:rPr>
                <w:rFonts w:hint="eastAsia" w:ascii="仿宋" w:hAnsi="仿宋" w:eastAsia="仿宋"/>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48"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评审方式</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综合评审；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13</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竞投文件编制</w:t>
            </w:r>
          </w:p>
          <w:p>
            <w:pPr>
              <w:spacing w:line="240" w:lineRule="atLeast"/>
              <w:jc w:val="center"/>
              <w:rPr>
                <w:rFonts w:ascii="仿宋" w:hAnsi="仿宋" w:eastAsia="仿宋"/>
              </w:rPr>
            </w:pPr>
            <w:r>
              <w:rPr>
                <w:rFonts w:hint="eastAsia" w:ascii="仿宋" w:hAnsi="仿宋" w:eastAsia="仿宋"/>
              </w:rPr>
              <w:t>要求</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1. 竞投人应按采购文件的要求制作并递交竞投文件，并保证所提供的全部资料的真实性、准确性；</w:t>
            </w:r>
          </w:p>
          <w:p>
            <w:pPr>
              <w:spacing w:line="240" w:lineRule="atLeast"/>
              <w:rPr>
                <w:rFonts w:ascii="仿宋" w:hAnsi="仿宋" w:eastAsia="仿宋"/>
              </w:rPr>
            </w:pPr>
            <w:r>
              <w:rPr>
                <w:rFonts w:hint="eastAsia" w:ascii="仿宋" w:hAnsi="仿宋" w:eastAsia="仿宋"/>
              </w:rPr>
              <w:t>2. 竞投文件和来往函件应用简体中文书写，计量单位应使用国际公制单位。</w:t>
            </w:r>
          </w:p>
          <w:p>
            <w:pPr>
              <w:spacing w:line="240" w:lineRule="atLeast"/>
              <w:rPr>
                <w:rFonts w:ascii="仿宋" w:hAnsi="仿宋" w:eastAsia="仿宋"/>
              </w:rPr>
            </w:pPr>
            <w:r>
              <w:rPr>
                <w:rFonts w:hint="eastAsia" w:ascii="仿宋" w:hAnsi="仿宋" w:eastAsia="仿宋"/>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14</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竞投文件的组成</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1. 提供符合本采购项目竞投资格要求的《营业执照》；</w:t>
            </w:r>
          </w:p>
          <w:p>
            <w:pPr>
              <w:spacing w:line="240" w:lineRule="atLeast"/>
              <w:rPr>
                <w:rFonts w:ascii="仿宋" w:hAnsi="仿宋" w:eastAsia="仿宋"/>
              </w:rPr>
            </w:pPr>
            <w:r>
              <w:rPr>
                <w:rFonts w:hint="eastAsia" w:ascii="仿宋" w:hAnsi="仿宋" w:eastAsia="仿宋"/>
              </w:rPr>
              <w:t>2. 密封完好的竞投报价清单（盖章）；</w:t>
            </w:r>
          </w:p>
          <w:p>
            <w:pPr>
              <w:spacing w:line="240" w:lineRule="atLeast"/>
              <w:rPr>
                <w:rFonts w:ascii="仿宋" w:hAnsi="仿宋" w:eastAsia="仿宋"/>
              </w:rPr>
            </w:pPr>
            <w:r>
              <w:rPr>
                <w:rFonts w:hint="eastAsia" w:ascii="仿宋" w:hAnsi="仿宋" w:eastAsia="仿宋"/>
              </w:rPr>
              <w:t>3. 有效法人证明书及授权委托书（盖章）；</w:t>
            </w:r>
          </w:p>
          <w:p>
            <w:pPr>
              <w:spacing w:line="240" w:lineRule="atLeast"/>
              <w:rPr>
                <w:rFonts w:ascii="仿宋" w:hAnsi="仿宋" w:eastAsia="仿宋"/>
              </w:rPr>
            </w:pPr>
            <w:r>
              <w:rPr>
                <w:rFonts w:hint="eastAsia" w:ascii="仿宋" w:hAnsi="仿宋" w:eastAsia="仿宋"/>
              </w:rPr>
              <w:t>4. 竞投人认为须提交与评分内容相关的其他资料。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15</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竞投文件份数</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正本一份，副本四份；所有竞投文件应用A4规格纸打印，并装订成册。竞投文件于封面注明“正本”和“副本”。如果正本与副本不符，应以正本为准。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16</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竞投文件递交时间及截止时间</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竞投文件递交受理时间</w:t>
            </w:r>
            <w:bookmarkStart w:id="22" w:name="_GoBack"/>
            <w:r>
              <w:rPr>
                <w:rFonts w:hint="eastAsia" w:ascii="仿宋" w:hAnsi="仿宋" w:eastAsia="仿宋"/>
              </w:rPr>
              <w:t>自</w:t>
            </w:r>
            <w:r>
              <w:rPr>
                <w:rFonts w:hint="eastAsia" w:ascii="仿宋" w:hAnsi="仿宋" w:eastAsia="仿宋"/>
                <w:lang w:eastAsia="zh-CN"/>
              </w:rPr>
              <w:t>2023</w:t>
            </w:r>
            <w:r>
              <w:rPr>
                <w:rFonts w:hint="eastAsia" w:ascii="仿宋" w:hAnsi="仿宋" w:eastAsia="仿宋"/>
              </w:rPr>
              <w:t xml:space="preserve"> 年</w:t>
            </w:r>
            <w:r>
              <w:rPr>
                <w:rFonts w:hint="eastAsia" w:ascii="仿宋" w:hAnsi="仿宋" w:eastAsia="仿宋"/>
                <w:lang w:val="en-US" w:eastAsia="zh-CN"/>
              </w:rPr>
              <w:t>2</w:t>
            </w:r>
            <w:r>
              <w:rPr>
                <w:rFonts w:hint="eastAsia" w:ascii="仿宋" w:hAnsi="仿宋" w:eastAsia="仿宋"/>
              </w:rPr>
              <w:t xml:space="preserve"> 月</w:t>
            </w:r>
            <w:r>
              <w:rPr>
                <w:rFonts w:hint="eastAsia" w:ascii="仿宋" w:hAnsi="仿宋" w:eastAsia="仿宋"/>
                <w:lang w:val="en-US" w:eastAsia="zh-CN"/>
              </w:rPr>
              <w:t>8</w:t>
            </w:r>
            <w:r>
              <w:rPr>
                <w:rFonts w:hint="eastAsia" w:ascii="仿宋" w:hAnsi="仿宋" w:eastAsia="仿宋"/>
              </w:rPr>
              <w:t>日</w:t>
            </w:r>
            <w:r>
              <w:rPr>
                <w:rFonts w:hint="eastAsia" w:ascii="仿宋" w:hAnsi="仿宋" w:eastAsia="仿宋"/>
                <w:lang w:val="en-US" w:eastAsia="zh-CN"/>
              </w:rPr>
              <w:t>下</w:t>
            </w:r>
            <w:r>
              <w:rPr>
                <w:rFonts w:hint="eastAsia" w:ascii="仿宋" w:hAnsi="仿宋" w:eastAsia="仿宋"/>
              </w:rPr>
              <w:t>午</w:t>
            </w:r>
            <w:r>
              <w:rPr>
                <w:rFonts w:hint="eastAsia" w:ascii="仿宋" w:hAnsi="仿宋" w:eastAsia="仿宋"/>
                <w:lang w:val="en-US" w:eastAsia="zh-CN"/>
              </w:rPr>
              <w:t>15</w:t>
            </w:r>
            <w:r>
              <w:rPr>
                <w:rFonts w:hint="eastAsia" w:ascii="仿宋" w:hAnsi="仿宋" w:eastAsia="仿宋"/>
              </w:rPr>
              <w:t>：</w:t>
            </w:r>
            <w:r>
              <w:rPr>
                <w:rFonts w:hint="eastAsia" w:ascii="仿宋" w:hAnsi="仿宋" w:eastAsia="仿宋"/>
                <w:lang w:val="en-US" w:eastAsia="zh-CN"/>
              </w:rPr>
              <w:t>0</w:t>
            </w:r>
            <w:r>
              <w:rPr>
                <w:rFonts w:hint="eastAsia" w:ascii="仿宋" w:hAnsi="仿宋" w:eastAsia="仿宋"/>
              </w:rPr>
              <w:t>0起至</w:t>
            </w:r>
            <w:r>
              <w:rPr>
                <w:rFonts w:hint="eastAsia" w:ascii="仿宋" w:hAnsi="仿宋" w:eastAsia="仿宋"/>
                <w:lang w:val="en-US" w:eastAsia="zh-CN"/>
              </w:rPr>
              <w:t>15</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0截止</w:t>
            </w:r>
            <w:r>
              <w:rPr>
                <w:rFonts w:hint="eastAsia" w:ascii="仿宋" w:hAnsi="仿宋" w:eastAsia="仿宋"/>
              </w:rPr>
              <w:t>；逾期不予受理。</w:t>
            </w:r>
            <w:bookmarkEnd w:id="22"/>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17</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竞投有效期</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rPr>
            </w:pPr>
            <w:r>
              <w:rPr>
                <w:rFonts w:hint="eastAsia" w:ascii="仿宋" w:hAnsi="仿宋" w:eastAsia="仿宋"/>
              </w:rPr>
              <w:t>从竞投截止日起，竞投有效期为60日历天。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18</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竞投保证金</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rPr>
            </w:pPr>
            <w:r>
              <w:rPr>
                <w:rFonts w:hint="eastAsia" w:ascii="仿宋" w:hAnsi="仿宋" w:eastAsia="仿宋"/>
              </w:rPr>
              <w:t>本采购项目不设竞投保证金。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19</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竞投文件的修改和撤回</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竞投截止时间之后，竞投人不得对其竞投文件做任何修改。从竞投截止时间起至竞投有效期前，竞投人不得撤回其竞投文件。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20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竞投文件</w:t>
            </w:r>
          </w:p>
          <w:p>
            <w:pPr>
              <w:spacing w:line="240" w:lineRule="atLeast"/>
              <w:jc w:val="center"/>
              <w:rPr>
                <w:rFonts w:ascii="仿宋" w:hAnsi="仿宋" w:eastAsia="仿宋"/>
              </w:rPr>
            </w:pPr>
            <w:r>
              <w:rPr>
                <w:rFonts w:hint="eastAsia" w:ascii="仿宋" w:hAnsi="仿宋" w:eastAsia="仿宋"/>
              </w:rPr>
              <w:t>递交地点</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rPr>
            </w:pPr>
            <w:r>
              <w:rPr>
                <w:rFonts w:hint="eastAsia" w:ascii="仿宋" w:hAnsi="仿宋" w:eastAsia="仿宋"/>
              </w:rPr>
              <w:t>广州市</w:t>
            </w:r>
            <w:r>
              <w:rPr>
                <w:rFonts w:hint="eastAsia" w:ascii="仿宋" w:hAnsi="仿宋" w:eastAsia="仿宋"/>
                <w:lang w:val="en-US" w:eastAsia="zh-CN"/>
              </w:rPr>
              <w:t>人民北路686号22楼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21</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知识产权</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22</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禁止事项</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23</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保密要求</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24</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采购联系方式</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采购单位：广州市城壹房地产顾问有限公司</w:t>
            </w:r>
          </w:p>
          <w:p>
            <w:pPr>
              <w:spacing w:line="240" w:lineRule="atLeast"/>
              <w:ind w:left="938" w:leftChars="-8" w:hanging="955"/>
              <w:rPr>
                <w:rFonts w:hint="eastAsia" w:ascii="仿宋" w:hAnsi="仿宋" w:eastAsia="仿宋"/>
              </w:rPr>
            </w:pPr>
            <w:r>
              <w:rPr>
                <w:rFonts w:hint="eastAsia" w:ascii="仿宋" w:hAnsi="仿宋" w:eastAsia="仿宋"/>
              </w:rPr>
              <w:t>联系地址：广州市</w:t>
            </w:r>
            <w:r>
              <w:rPr>
                <w:rFonts w:hint="eastAsia" w:ascii="仿宋" w:hAnsi="仿宋" w:eastAsia="仿宋"/>
                <w:lang w:val="en-US" w:eastAsia="zh-CN"/>
              </w:rPr>
              <w:t>人民北路686号22楼</w:t>
            </w:r>
          </w:p>
          <w:p>
            <w:pPr>
              <w:spacing w:line="240" w:lineRule="atLeast"/>
              <w:rPr>
                <w:rFonts w:hint="default" w:ascii="仿宋" w:hAnsi="仿宋" w:eastAsia="仿宋"/>
                <w:lang w:val="en-US" w:eastAsia="zh-CN"/>
              </w:rPr>
            </w:pPr>
            <w:r>
              <w:rPr>
                <w:rFonts w:hint="eastAsia" w:ascii="仿宋" w:hAnsi="仿宋" w:eastAsia="仿宋"/>
              </w:rPr>
              <w:t>联 系 人：</w:t>
            </w:r>
            <w:r>
              <w:rPr>
                <w:rFonts w:hint="eastAsia" w:ascii="仿宋" w:hAnsi="仿宋" w:eastAsia="仿宋"/>
                <w:lang w:val="en-US" w:eastAsia="zh-CN"/>
              </w:rPr>
              <w:t>黄先生</w:t>
            </w:r>
          </w:p>
          <w:p>
            <w:pPr>
              <w:spacing w:line="240" w:lineRule="atLeast"/>
              <w:rPr>
                <w:rFonts w:hint="default" w:ascii="仿宋" w:hAnsi="仿宋" w:eastAsia="仿宋"/>
                <w:lang w:val="en-US" w:eastAsia="zh-CN"/>
              </w:rPr>
            </w:pPr>
            <w:r>
              <w:rPr>
                <w:rFonts w:hint="eastAsia" w:ascii="仿宋" w:hAnsi="仿宋" w:eastAsia="仿宋"/>
              </w:rPr>
              <w:t>联系电话：</w:t>
            </w:r>
            <w:r>
              <w:rPr>
                <w:rFonts w:hint="eastAsia" w:ascii="仿宋" w:hAnsi="仿宋" w:eastAsia="仿宋"/>
                <w:lang w:val="en-US" w:eastAsia="zh-CN"/>
              </w:rPr>
              <w:t>18126816168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25</w:t>
            </w:r>
          </w:p>
        </w:tc>
        <w:tc>
          <w:tcPr>
            <w:tcW w:w="17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其他</w:t>
            </w:r>
          </w:p>
        </w:tc>
        <w:tc>
          <w:tcPr>
            <w:tcW w:w="622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rPr>
              <w:t>1. 本采购项目信息在广州市城壹房地产顾问有限公司的官方网站（链接：</w:t>
            </w:r>
            <w:r>
              <w:rPr>
                <w:rFonts w:ascii="仿宋" w:hAnsi="仿宋" w:eastAsia="仿宋"/>
              </w:rPr>
              <w:t>http://www.gzcityone.com</w:t>
            </w:r>
            <w:r>
              <w:rPr>
                <w:rFonts w:hint="eastAsia" w:ascii="仿宋" w:hAnsi="仿宋" w:eastAsia="仿宋"/>
              </w:rPr>
              <w:t>）发布，符合资格的意向竞投人可行进行竟投并承担所有与其参加竞投有关的全部费用。</w:t>
            </w:r>
          </w:p>
          <w:p>
            <w:pPr>
              <w:spacing w:line="240" w:lineRule="atLeast"/>
              <w:rPr>
                <w:rFonts w:ascii="仿宋" w:hAnsi="仿宋" w:eastAsia="仿宋"/>
              </w:rPr>
            </w:pPr>
            <w:r>
              <w:rPr>
                <w:rFonts w:hint="eastAsia" w:ascii="仿宋" w:hAnsi="仿宋" w:eastAsia="仿宋"/>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rPr>
            </w:pPr>
            <w:r>
              <w:rPr>
                <w:rFonts w:hint="eastAsia" w:ascii="仿宋" w:hAnsi="仿宋" w:eastAsia="仿宋"/>
              </w:rPr>
              <w:t>3. 本采购文件的最终解释权归采购人。</w:t>
            </w:r>
          </w:p>
        </w:tc>
      </w:tr>
    </w:tbl>
    <w:p>
      <w:pPr>
        <w:ind w:right="-57" w:firstLine="0"/>
        <w:jc w:val="left"/>
        <w:outlineLvl w:val="0"/>
        <w:rPr>
          <w:rFonts w:ascii="仿宋" w:hAnsi="仿宋" w:eastAsia="仿宋" w:cs="仿宋"/>
          <w:b/>
          <w:color w:val="000000"/>
        </w:rPr>
      </w:pPr>
    </w:p>
    <w:p>
      <w:pPr>
        <w:ind w:right="-57" w:firstLine="0"/>
        <w:jc w:val="left"/>
        <w:outlineLvl w:val="0"/>
        <w:rPr>
          <w:rFonts w:ascii="仿宋" w:hAnsi="仿宋" w:eastAsia="仿宋" w:cs="仿宋"/>
          <w:b/>
          <w:color w:val="000000"/>
        </w:rPr>
      </w:pPr>
      <w:bookmarkStart w:id="7" w:name="_Toc427828529"/>
    </w:p>
    <w:p>
      <w:pPr>
        <w:rPr>
          <w:rFonts w:ascii="仿宋" w:hAnsi="仿宋" w:eastAsia="仿宋" w:cs="仿宋"/>
          <w:b/>
          <w:color w:val="000000"/>
        </w:rPr>
      </w:pPr>
      <w:bookmarkStart w:id="8" w:name="_Toc428434793"/>
      <w:r>
        <w:rPr>
          <w:rFonts w:hint="eastAsia" w:ascii="仿宋" w:hAnsi="仿宋" w:eastAsia="仿宋" w:cs="仿宋"/>
          <w:b/>
          <w:sz w:val="32"/>
          <w:szCs w:val="32"/>
        </w:rPr>
        <w:t>三、</w:t>
      </w:r>
      <w:r>
        <w:rPr>
          <w:rFonts w:hint="eastAsia" w:ascii="仿宋" w:hAnsi="仿宋" w:eastAsia="仿宋" w:cs="仿宋"/>
          <w:b/>
          <w:color w:val="000000"/>
          <w:sz w:val="32"/>
          <w:szCs w:val="32"/>
        </w:rPr>
        <w:t>招</w:t>
      </w:r>
      <w:r>
        <w:rPr>
          <w:rFonts w:hint="eastAsia" w:ascii="仿宋_GB2312" w:eastAsia="仿宋_GB2312"/>
          <w:b/>
          <w:sz w:val="32"/>
          <w:szCs w:val="32"/>
        </w:rPr>
        <w:t>选人需求</w:t>
      </w:r>
      <w:bookmarkEnd w:id="7"/>
      <w:bookmarkEnd w:id="8"/>
    </w:p>
    <w:p>
      <w:pPr>
        <w:tabs>
          <w:tab w:val="left" w:pos="0"/>
        </w:tabs>
        <w:ind w:left="567" w:firstLine="0"/>
        <w:rPr>
          <w:rFonts w:ascii="仿宋" w:hAnsi="仿宋" w:eastAsia="仿宋" w:cs="仿宋"/>
          <w:color w:val="000000"/>
        </w:rPr>
      </w:pPr>
      <w:r>
        <w:rPr>
          <w:rFonts w:hint="eastAsia" w:ascii="仿宋" w:hAnsi="仿宋" w:eastAsia="仿宋" w:cs="仿宋"/>
          <w:color w:val="000000"/>
        </w:rPr>
        <w:t>1、概述</w:t>
      </w:r>
    </w:p>
    <w:p>
      <w:pPr>
        <w:tabs>
          <w:tab w:val="left" w:pos="0"/>
          <w:tab w:val="left" w:pos="1134"/>
        </w:tabs>
        <w:ind w:left="567" w:firstLine="0"/>
        <w:rPr>
          <w:rFonts w:ascii="仿宋" w:hAnsi="仿宋" w:eastAsia="仿宋" w:cs="仿宋"/>
          <w:color w:val="000000"/>
        </w:rPr>
      </w:pPr>
      <w:r>
        <w:rPr>
          <w:rFonts w:hint="eastAsia" w:ascii="仿宋" w:hAnsi="仿宋" w:eastAsia="仿宋" w:cs="仿宋"/>
          <w:color w:val="000000"/>
        </w:rPr>
        <w:t>（1）宗旨</w:t>
      </w:r>
    </w:p>
    <w:p>
      <w:pPr>
        <w:tabs>
          <w:tab w:val="left" w:pos="0"/>
        </w:tabs>
        <w:ind w:left="426" w:firstLine="200"/>
        <w:outlineLvl w:val="3"/>
        <w:rPr>
          <w:rFonts w:hint="eastAsia" w:ascii="仿宋" w:hAnsi="仿宋" w:eastAsia="仿宋" w:cs="仿宋"/>
          <w:color w:val="000000"/>
        </w:rPr>
      </w:pPr>
      <w:r>
        <w:rPr>
          <w:rFonts w:hint="eastAsia" w:ascii="仿宋" w:hAnsi="仿宋" w:eastAsia="仿宋" w:cs="仿宋"/>
          <w:color w:val="000000"/>
        </w:rPr>
        <w:t>为满足禧悦府项目户外道路指示蓝白牌&amp;包柱投放的服务。</w:t>
      </w:r>
    </w:p>
    <w:p>
      <w:pPr>
        <w:tabs>
          <w:tab w:val="left" w:pos="0"/>
          <w:tab w:val="left" w:pos="1134"/>
        </w:tabs>
        <w:ind w:left="567" w:firstLine="0"/>
        <w:rPr>
          <w:rFonts w:ascii="仿宋" w:hAnsi="仿宋" w:eastAsia="仿宋" w:cs="仿宋"/>
          <w:color w:val="000000"/>
        </w:rPr>
      </w:pPr>
      <w:r>
        <w:rPr>
          <w:rFonts w:hint="eastAsia" w:ascii="仿宋" w:hAnsi="仿宋" w:eastAsia="仿宋" w:cs="仿宋"/>
          <w:color w:val="000000"/>
        </w:rPr>
        <w:t>（2）项目地点</w:t>
      </w:r>
    </w:p>
    <w:p>
      <w:pPr>
        <w:tabs>
          <w:tab w:val="left" w:pos="0"/>
        </w:tabs>
        <w:ind w:left="426" w:firstLine="200"/>
        <w:outlineLvl w:val="3"/>
        <w:rPr>
          <w:rFonts w:hint="eastAsia" w:ascii="仿宋" w:hAnsi="仿宋" w:eastAsia="仿宋" w:cs="仿宋"/>
          <w:color w:val="000000"/>
        </w:rPr>
      </w:pPr>
      <w:r>
        <w:rPr>
          <w:rFonts w:hint="eastAsia" w:ascii="仿宋" w:hAnsi="仿宋" w:eastAsia="仿宋" w:cs="仿宋"/>
          <w:color w:val="000000"/>
        </w:rPr>
        <w:t>广州市增城区永宁街道长岗村S3101229A19078号地块</w:t>
      </w:r>
    </w:p>
    <w:p>
      <w:pPr>
        <w:tabs>
          <w:tab w:val="left" w:pos="0"/>
        </w:tabs>
        <w:ind w:left="567" w:firstLine="0"/>
        <w:rPr>
          <w:rFonts w:ascii="仿宋" w:hAnsi="仿宋" w:eastAsia="仿宋" w:cs="仿宋"/>
          <w:color w:val="000000"/>
        </w:rPr>
      </w:pPr>
      <w:r>
        <w:rPr>
          <w:rFonts w:hint="eastAsia" w:ascii="仿宋" w:hAnsi="仿宋" w:eastAsia="仿宋" w:cs="仿宋"/>
          <w:color w:val="000000"/>
        </w:rPr>
        <w:t>2、商务要求</w:t>
      </w:r>
    </w:p>
    <w:p>
      <w:pPr>
        <w:tabs>
          <w:tab w:val="left" w:pos="0"/>
          <w:tab w:val="left" w:pos="1134"/>
        </w:tabs>
        <w:ind w:left="567" w:firstLine="0"/>
        <w:rPr>
          <w:rFonts w:ascii="仿宋" w:hAnsi="仿宋" w:eastAsia="仿宋" w:cs="仿宋"/>
          <w:color w:val="000000"/>
        </w:rPr>
      </w:pPr>
      <w:r>
        <w:rPr>
          <w:rFonts w:hint="eastAsia" w:ascii="仿宋" w:hAnsi="仿宋" w:eastAsia="仿宋" w:cs="仿宋"/>
          <w:color w:val="000000"/>
        </w:rPr>
        <w:t>（1）服务报价</w:t>
      </w:r>
    </w:p>
    <w:p>
      <w:pPr>
        <w:tabs>
          <w:tab w:val="left" w:pos="0"/>
        </w:tabs>
        <w:ind w:left="426" w:firstLine="200"/>
        <w:outlineLvl w:val="3"/>
        <w:rPr>
          <w:rFonts w:hint="eastAsia" w:ascii="仿宋" w:hAnsi="仿宋" w:eastAsia="仿宋" w:cs="仿宋"/>
          <w:color w:val="000000"/>
        </w:rPr>
      </w:pPr>
      <w:r>
        <w:rPr>
          <w:rFonts w:hint="eastAsia" w:ascii="仿宋" w:hAnsi="仿宋" w:eastAsia="仿宋" w:cs="仿宋"/>
          <w:color w:val="000000"/>
        </w:rPr>
        <w:t>由竞投人报价，最高限价人民币</w:t>
      </w:r>
      <w:r>
        <w:rPr>
          <w:rFonts w:hint="eastAsia" w:ascii="仿宋" w:hAnsi="仿宋" w:eastAsia="仿宋"/>
          <w:lang w:eastAsia="zh-CN"/>
        </w:rPr>
        <w:t>肆拾肆万贰仟伍佰陆拾</w:t>
      </w:r>
      <w:r>
        <w:rPr>
          <w:rFonts w:hint="eastAsia" w:ascii="仿宋" w:hAnsi="仿宋" w:eastAsia="仿宋" w:cs="仿宋"/>
          <w:color w:val="000000"/>
        </w:rPr>
        <w:t>元整（￥</w:t>
      </w:r>
      <w:r>
        <w:rPr>
          <w:rFonts w:hint="eastAsia" w:ascii="仿宋" w:hAnsi="仿宋" w:eastAsia="仿宋" w:cs="仿宋_GB2312"/>
          <w:sz w:val="24"/>
          <w:szCs w:val="24"/>
          <w:lang w:val="en-US" w:eastAsia="zh-CN"/>
        </w:rPr>
        <w:t>442560</w:t>
      </w:r>
      <w:r>
        <w:rPr>
          <w:rFonts w:hint="eastAsia" w:ascii="仿宋" w:hAnsi="仿宋" w:eastAsia="仿宋" w:cs="仿宋"/>
          <w:color w:val="000000"/>
        </w:rPr>
        <w:t>元），高于最高限价及单价限价的报价无效。</w:t>
      </w:r>
    </w:p>
    <w:p>
      <w:pPr>
        <w:tabs>
          <w:tab w:val="left" w:pos="0"/>
        </w:tabs>
        <w:ind w:left="426" w:firstLine="200"/>
        <w:outlineLvl w:val="3"/>
        <w:rPr>
          <w:rFonts w:hint="eastAsia" w:ascii="仿宋" w:hAnsi="仿宋" w:eastAsia="仿宋" w:cs="仿宋"/>
          <w:color w:val="000000"/>
        </w:rPr>
      </w:pPr>
      <w:r>
        <w:rPr>
          <w:rFonts w:hint="eastAsia" w:ascii="仿宋" w:hAnsi="仿宋" w:eastAsia="仿宋" w:cs="仿宋"/>
          <w:color w:val="000000"/>
        </w:rPr>
        <w:t>以投标总报价及服务作为评分依据。</w:t>
      </w:r>
    </w:p>
    <w:p>
      <w:pPr>
        <w:tabs>
          <w:tab w:val="left" w:pos="0"/>
          <w:tab w:val="left" w:pos="1134"/>
        </w:tabs>
        <w:ind w:left="567" w:firstLine="0"/>
        <w:rPr>
          <w:rFonts w:ascii="仿宋" w:hAnsi="仿宋" w:eastAsia="仿宋" w:cs="仿宋"/>
          <w:color w:val="000000"/>
        </w:rPr>
      </w:pPr>
      <w:r>
        <w:rPr>
          <w:rFonts w:hint="eastAsia" w:ascii="仿宋" w:hAnsi="仿宋" w:eastAsia="仿宋" w:cs="仿宋"/>
          <w:color w:val="000000"/>
        </w:rPr>
        <w:t>（2）其他</w:t>
      </w:r>
    </w:p>
    <w:p>
      <w:pPr>
        <w:tabs>
          <w:tab w:val="left" w:pos="0"/>
        </w:tabs>
        <w:ind w:left="426" w:firstLine="200"/>
        <w:outlineLvl w:val="3"/>
        <w:rPr>
          <w:rFonts w:ascii="仿宋" w:hAnsi="仿宋" w:eastAsia="仿宋" w:cs="仿宋"/>
          <w:color w:val="000000"/>
        </w:rPr>
      </w:pPr>
      <w:r>
        <w:rPr>
          <w:rFonts w:hint="eastAsia" w:ascii="仿宋" w:hAnsi="仿宋" w:eastAsia="仿宋" w:cs="仿宋"/>
          <w:color w:val="000000"/>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200"/>
        <w:outlineLvl w:val="3"/>
        <w:rPr>
          <w:rFonts w:ascii="仿宋" w:hAnsi="仿宋" w:eastAsia="仿宋" w:cs="仿宋"/>
          <w:color w:val="000000"/>
        </w:rPr>
      </w:pPr>
      <w:r>
        <w:rPr>
          <w:rFonts w:hint="eastAsia" w:ascii="仿宋" w:hAnsi="仿宋" w:eastAsia="仿宋" w:cs="仿宋"/>
          <w:color w:val="000000"/>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firstLine="0"/>
        <w:rPr>
          <w:rFonts w:ascii="仿宋" w:hAnsi="仿宋" w:eastAsia="仿宋" w:cs="仿宋"/>
          <w:color w:val="000000"/>
        </w:rPr>
      </w:pPr>
      <w:r>
        <w:rPr>
          <w:rFonts w:hint="eastAsia" w:ascii="仿宋" w:hAnsi="仿宋" w:eastAsia="仿宋" w:cs="仿宋"/>
          <w:color w:val="000000"/>
        </w:rPr>
        <w:t>（3）服务期</w:t>
      </w:r>
    </w:p>
    <w:p>
      <w:pPr>
        <w:tabs>
          <w:tab w:val="left" w:pos="0"/>
          <w:tab w:val="left" w:pos="1134"/>
        </w:tabs>
        <w:ind w:left="567" w:firstLine="0"/>
        <w:rPr>
          <w:rFonts w:ascii="仿宋" w:hAnsi="仿宋" w:eastAsia="仿宋" w:cs="仿宋"/>
          <w:color w:val="000000"/>
        </w:rPr>
      </w:pPr>
      <w:r>
        <w:rPr>
          <w:rFonts w:hint="eastAsia" w:ascii="仿宋" w:hAnsi="仿宋" w:eastAsia="仿宋" w:cs="仿宋"/>
          <w:color w:val="000000"/>
        </w:rPr>
        <w:t>签订采购合同后按采购人通知开始计算服务期</w:t>
      </w:r>
    </w:p>
    <w:p>
      <w:pPr>
        <w:tabs>
          <w:tab w:val="left" w:pos="0"/>
        </w:tabs>
        <w:ind w:left="567" w:firstLine="0"/>
        <w:rPr>
          <w:rFonts w:ascii="仿宋" w:hAnsi="仿宋" w:eastAsia="仿宋" w:cs="仿宋"/>
          <w:color w:val="000000"/>
        </w:rPr>
      </w:pPr>
      <w:r>
        <w:rPr>
          <w:rFonts w:hint="eastAsia" w:ascii="仿宋" w:hAnsi="仿宋" w:eastAsia="仿宋" w:cs="仿宋"/>
          <w:color w:val="000000"/>
        </w:rPr>
        <w:t>3、项目服务内容（包括但不限于以下内容）</w:t>
      </w:r>
      <w:r>
        <w:rPr>
          <w:rFonts w:hint="eastAsia" w:ascii="仿宋" w:hAnsi="仿宋" w:eastAsia="仿宋" w:cs="仿宋"/>
        </w:rPr>
        <w:t>：</w:t>
      </w:r>
    </w:p>
    <w:tbl>
      <w:tblPr>
        <w:tblStyle w:val="16"/>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8"/>
        <w:gridCol w:w="1235"/>
        <w:gridCol w:w="735"/>
        <w:gridCol w:w="1431"/>
        <w:gridCol w:w="1699"/>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8380" w:type="dxa"/>
            <w:gridSpan w:val="6"/>
            <w:vAlign w:val="center"/>
          </w:tcPr>
          <w:p>
            <w:pPr>
              <w:jc w:val="both"/>
              <w:rPr>
                <w:rFonts w:hint="eastAsia" w:ascii="仿宋" w:hAnsi="仿宋" w:eastAsia="仿宋" w:cs="仿宋"/>
                <w:b w:val="0"/>
                <w:sz w:val="21"/>
                <w:szCs w:val="21"/>
                <w:lang w:val="en-US" w:eastAsia="zh-CN"/>
              </w:rPr>
            </w:pPr>
            <w:r>
              <w:rPr>
                <w:rFonts w:hint="eastAsia" w:ascii="仿宋" w:hAnsi="仿宋" w:eastAsia="仿宋" w:cs="仿宋"/>
                <w:color w:val="000000"/>
              </w:rPr>
              <w:t>（1）</w:t>
            </w:r>
            <w:r>
              <w:rPr>
                <w:rFonts w:hint="eastAsia" w:ascii="仿宋" w:hAnsi="仿宋" w:eastAsia="仿宋" w:cs="仿宋"/>
                <w:b w:val="0"/>
                <w:sz w:val="21"/>
                <w:szCs w:val="21"/>
                <w:lang w:val="en-US" w:eastAsia="zh-CN"/>
              </w:rPr>
              <w:t xml:space="preserve">道路指示蓝白牌  </w:t>
            </w:r>
          </w:p>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投放位置：</w:t>
            </w:r>
            <w:r>
              <w:rPr>
                <w:rFonts w:hint="eastAsia" w:ascii="仿宋" w:hAnsi="仿宋" w:eastAsia="仿宋" w:cs="仿宋"/>
                <w:sz w:val="21"/>
                <w:szCs w:val="21"/>
                <w:lang w:eastAsia="zh-CN"/>
              </w:rPr>
              <w:t>待定；</w:t>
            </w:r>
            <w:r>
              <w:rPr>
                <w:rFonts w:hint="eastAsia" w:ascii="仿宋" w:hAnsi="仿宋" w:eastAsia="仿宋" w:cs="仿宋"/>
                <w:sz w:val="21"/>
                <w:szCs w:val="21"/>
                <w:lang w:val="en-US" w:eastAsia="zh-CN"/>
              </w:rPr>
              <w:t xml:space="preserve">    </w:t>
            </w:r>
            <w:r>
              <w:rPr>
                <w:rFonts w:hint="eastAsia" w:ascii="仿宋" w:hAnsi="仿宋" w:eastAsia="仿宋" w:cs="仿宋"/>
                <w:b w:val="0"/>
                <w:sz w:val="21"/>
                <w:szCs w:val="21"/>
                <w:lang w:val="en-US" w:eastAsia="zh-CN"/>
              </w:rPr>
              <w:t>媒体尺寸：长0.8米X2.4米高（按实际调整）；</w:t>
            </w:r>
          </w:p>
          <w:p>
            <w:pPr>
              <w:jc w:val="both"/>
              <w:rPr>
                <w:rFonts w:hint="eastAsia" w:ascii="仿宋" w:hAnsi="仿宋" w:eastAsia="仿宋" w:cs="仿宋"/>
                <w:b w:val="0"/>
                <w:sz w:val="21"/>
                <w:szCs w:val="21"/>
                <w:lang w:val="en-US" w:eastAsia="zh-CN"/>
              </w:rPr>
            </w:pPr>
            <w:r>
              <w:rPr>
                <w:rFonts w:hint="eastAsia" w:ascii="仿宋" w:hAnsi="仿宋" w:eastAsia="仿宋" w:cs="仿宋"/>
                <w:color w:val="000000"/>
              </w:rPr>
              <w:t>（2）</w:t>
            </w:r>
            <w:r>
              <w:rPr>
                <w:rFonts w:hint="eastAsia" w:ascii="仿宋" w:hAnsi="仿宋" w:eastAsia="仿宋" w:cs="仿宋"/>
                <w:b w:val="0"/>
                <w:sz w:val="21"/>
                <w:szCs w:val="21"/>
                <w:lang w:val="en-US" w:eastAsia="zh-CN"/>
              </w:rPr>
              <w:t xml:space="preserve">包柱 </w:t>
            </w:r>
          </w:p>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投放位置：</w:t>
            </w:r>
            <w:r>
              <w:rPr>
                <w:rFonts w:hint="eastAsia" w:ascii="仿宋" w:hAnsi="仿宋" w:eastAsia="仿宋" w:cs="仿宋"/>
                <w:sz w:val="21"/>
                <w:szCs w:val="21"/>
                <w:lang w:eastAsia="zh-CN"/>
              </w:rPr>
              <w:t>待定；</w:t>
            </w:r>
            <w:r>
              <w:rPr>
                <w:rFonts w:hint="eastAsia" w:ascii="仿宋" w:hAnsi="仿宋" w:eastAsia="仿宋" w:cs="仿宋"/>
                <w:sz w:val="21"/>
                <w:szCs w:val="21"/>
                <w:lang w:val="en-US" w:eastAsia="zh-CN"/>
              </w:rPr>
              <w:t xml:space="preserve">    </w:t>
            </w:r>
            <w:r>
              <w:rPr>
                <w:rFonts w:hint="eastAsia" w:ascii="仿宋" w:hAnsi="仿宋" w:eastAsia="仿宋" w:cs="仿宋"/>
                <w:b w:val="0"/>
                <w:sz w:val="21"/>
                <w:szCs w:val="21"/>
                <w:lang w:val="en-US" w:eastAsia="zh-CN"/>
              </w:rPr>
              <w:t xml:space="preserve">媒体尺寸：高3.2米X2米宽 侧面高3.2米1.2米宽（按实际调整）； </w:t>
            </w:r>
          </w:p>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报价要求：报价包含上画费、广告发布费、维护工作所需的全部人工费、材料费、媒体占用管理费、税金等全部费用。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148"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媒体形式</w:t>
            </w:r>
          </w:p>
        </w:tc>
        <w:tc>
          <w:tcPr>
            <w:tcW w:w="1235"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投放位置</w:t>
            </w:r>
          </w:p>
        </w:tc>
        <w:tc>
          <w:tcPr>
            <w:tcW w:w="735"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数量</w:t>
            </w:r>
          </w:p>
        </w:tc>
        <w:tc>
          <w:tcPr>
            <w:tcW w:w="1431"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单价</w:t>
            </w:r>
          </w:p>
        </w:tc>
        <w:tc>
          <w:tcPr>
            <w:tcW w:w="1699"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周期</w:t>
            </w:r>
          </w:p>
        </w:tc>
        <w:tc>
          <w:tcPr>
            <w:tcW w:w="2132"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148"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 xml:space="preserve">道路指示蓝白牌 </w:t>
            </w:r>
          </w:p>
        </w:tc>
        <w:tc>
          <w:tcPr>
            <w:tcW w:w="1235"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sz w:val="21"/>
                <w:szCs w:val="21"/>
                <w:lang w:eastAsia="zh-CN"/>
              </w:rPr>
              <w:t>待定</w:t>
            </w:r>
          </w:p>
        </w:tc>
        <w:tc>
          <w:tcPr>
            <w:tcW w:w="735"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12</w:t>
            </w:r>
          </w:p>
        </w:tc>
        <w:tc>
          <w:tcPr>
            <w:tcW w:w="1431"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元/月</w:t>
            </w:r>
          </w:p>
        </w:tc>
        <w:tc>
          <w:tcPr>
            <w:tcW w:w="1699" w:type="dxa"/>
            <w:vMerge w:val="restart"/>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6个月</w:t>
            </w:r>
          </w:p>
        </w:tc>
        <w:tc>
          <w:tcPr>
            <w:tcW w:w="2132" w:type="dxa"/>
            <w:vAlign w:val="center"/>
          </w:tcPr>
          <w:p>
            <w:pPr>
              <w:jc w:val="both"/>
              <w:rPr>
                <w:rFonts w:hint="eastAsia" w:ascii="仿宋" w:hAnsi="仿宋" w:eastAsia="仿宋" w:cs="仿宋"/>
                <w:b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1148"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包柱</w:t>
            </w:r>
          </w:p>
        </w:tc>
        <w:tc>
          <w:tcPr>
            <w:tcW w:w="1235" w:type="dxa"/>
            <w:vAlign w:val="center"/>
          </w:tcPr>
          <w:p>
            <w:pPr>
              <w:jc w:val="center"/>
              <w:rPr>
                <w:rFonts w:hint="eastAsia" w:ascii="仿宋" w:hAnsi="仿宋" w:eastAsia="仿宋" w:cs="仿宋"/>
                <w:b w:val="0"/>
                <w:sz w:val="21"/>
                <w:szCs w:val="21"/>
                <w:lang w:val="en-US" w:eastAsia="zh-CN" w:bidi="ar-SA"/>
              </w:rPr>
            </w:pPr>
            <w:r>
              <w:rPr>
                <w:rFonts w:hint="eastAsia" w:ascii="仿宋" w:hAnsi="仿宋" w:eastAsia="仿宋" w:cs="仿宋"/>
                <w:b w:val="0"/>
                <w:sz w:val="21"/>
                <w:szCs w:val="21"/>
                <w:lang w:val="en-US" w:eastAsia="zh-CN"/>
              </w:rPr>
              <w:t>待定</w:t>
            </w:r>
          </w:p>
        </w:tc>
        <w:tc>
          <w:tcPr>
            <w:tcW w:w="735" w:type="dxa"/>
            <w:vAlign w:val="center"/>
          </w:tcPr>
          <w:p>
            <w:pPr>
              <w:jc w:val="center"/>
              <w:rPr>
                <w:rFonts w:hint="eastAsia" w:ascii="仿宋" w:hAnsi="仿宋" w:eastAsia="仿宋" w:cs="仿宋"/>
                <w:b w:val="0"/>
                <w:sz w:val="21"/>
                <w:szCs w:val="21"/>
                <w:lang w:val="en-US" w:eastAsia="zh-CN" w:bidi="ar-SA"/>
              </w:rPr>
            </w:pPr>
            <w:r>
              <w:rPr>
                <w:rFonts w:hint="eastAsia" w:ascii="仿宋" w:hAnsi="仿宋" w:eastAsia="仿宋" w:cs="仿宋"/>
                <w:b w:val="0"/>
                <w:sz w:val="21"/>
                <w:szCs w:val="21"/>
                <w:lang w:val="en-US" w:eastAsia="zh-CN" w:bidi="ar-SA"/>
              </w:rPr>
              <w:t>8</w:t>
            </w:r>
          </w:p>
        </w:tc>
        <w:tc>
          <w:tcPr>
            <w:tcW w:w="1431" w:type="dxa"/>
            <w:vAlign w:val="center"/>
          </w:tcPr>
          <w:p>
            <w:pPr>
              <w:jc w:val="center"/>
              <w:rPr>
                <w:rFonts w:hint="eastAsia" w:ascii="仿宋" w:hAnsi="仿宋" w:eastAsia="仿宋" w:cs="仿宋"/>
                <w:b w:val="0"/>
                <w:sz w:val="21"/>
                <w:szCs w:val="21"/>
                <w:lang w:val="en-US" w:eastAsia="zh-CN" w:bidi="ar-SA"/>
              </w:rPr>
            </w:pPr>
            <w:r>
              <w:rPr>
                <w:rFonts w:hint="eastAsia" w:ascii="仿宋" w:hAnsi="仿宋" w:eastAsia="仿宋" w:cs="仿宋"/>
                <w:b w:val="0"/>
                <w:sz w:val="21"/>
                <w:szCs w:val="21"/>
                <w:lang w:val="en-US" w:eastAsia="zh-CN"/>
              </w:rPr>
              <w:t>元/月</w:t>
            </w:r>
          </w:p>
        </w:tc>
        <w:tc>
          <w:tcPr>
            <w:tcW w:w="1699" w:type="dxa"/>
            <w:vMerge w:val="continue"/>
            <w:vAlign w:val="center"/>
          </w:tcPr>
          <w:p/>
        </w:tc>
        <w:tc>
          <w:tcPr>
            <w:tcW w:w="2132" w:type="dxa"/>
            <w:vAlign w:val="center"/>
          </w:tcPr>
          <w:p>
            <w:pPr>
              <w:jc w:val="both"/>
              <w:rPr>
                <w:rFonts w:hint="eastAsia" w:ascii="仿宋" w:hAnsi="仿宋" w:eastAsia="仿宋" w:cs="仿宋"/>
                <w:b w:val="0"/>
                <w:sz w:val="21"/>
                <w:szCs w:val="21"/>
                <w:lang w:val="en-US" w:eastAsia="zh-CN"/>
              </w:rPr>
            </w:pPr>
          </w:p>
          <w:p>
            <w:pPr>
              <w:jc w:val="both"/>
              <w:rPr>
                <w:rFonts w:hint="eastAsia" w:ascii="仿宋" w:hAnsi="仿宋" w:eastAsia="仿宋" w:cs="仿宋"/>
                <w:b w:val="0"/>
                <w:sz w:val="21"/>
                <w:szCs w:val="21"/>
                <w:lang w:val="en-US" w:eastAsia="zh-CN" w:bidi="ar-SA"/>
              </w:rPr>
            </w:pPr>
          </w:p>
        </w:tc>
      </w:tr>
    </w:tbl>
    <w:p>
      <w:pPr>
        <w:tabs>
          <w:tab w:val="left" w:pos="0"/>
        </w:tabs>
        <w:outlineLvl w:val="3"/>
        <w:rPr>
          <w:rFonts w:ascii="仿宋" w:hAnsi="仿宋" w:eastAsia="仿宋" w:cs="仿宋"/>
        </w:rPr>
      </w:pPr>
    </w:p>
    <w:p>
      <w:pPr>
        <w:tabs>
          <w:tab w:val="left" w:pos="0"/>
        </w:tabs>
        <w:ind w:firstLine="270"/>
        <w:outlineLvl w:val="3"/>
        <w:rPr>
          <w:rFonts w:ascii="仿宋" w:hAnsi="仿宋" w:eastAsia="仿宋" w:cs="仿宋"/>
          <w:color w:val="000000"/>
        </w:rPr>
      </w:pPr>
      <w:r>
        <w:rPr>
          <w:rFonts w:hint="eastAsia" w:ascii="仿宋" w:hAnsi="仿宋" w:eastAsia="仿宋" w:cs="仿宋"/>
          <w:color w:val="000000"/>
        </w:rPr>
        <w:t>4、服务保障措施</w:t>
      </w:r>
    </w:p>
    <w:p>
      <w:pPr>
        <w:ind w:firstLine="270"/>
        <w:rPr>
          <w:rFonts w:hint="eastAsia" w:ascii="仿宋" w:hAnsi="仿宋" w:eastAsia="仿宋" w:cs="仿宋"/>
          <w:color w:val="000000"/>
        </w:rPr>
      </w:pPr>
      <w:r>
        <w:rPr>
          <w:rFonts w:hint="eastAsia" w:ascii="仿宋" w:hAnsi="仿宋" w:eastAsia="仿宋" w:cs="仿宋"/>
          <w:color w:val="000000"/>
        </w:rPr>
        <w:t>（1）本项目服务团队及负责人，如更换负责人须经招选人同意。</w:t>
      </w:r>
    </w:p>
    <w:p>
      <w:pPr>
        <w:ind w:firstLine="270"/>
        <w:rPr>
          <w:rFonts w:hint="eastAsia" w:ascii="仿宋" w:hAnsi="仿宋" w:eastAsia="仿宋" w:cs="仿宋"/>
          <w:color w:val="000000"/>
        </w:rPr>
      </w:pPr>
      <w:r>
        <w:rPr>
          <w:rFonts w:hint="eastAsia" w:ascii="仿宋" w:hAnsi="仿宋" w:eastAsia="仿宋" w:cs="仿宋"/>
          <w:color w:val="000000"/>
        </w:rPr>
        <w:t>（2）本项目服务方案和时间进度表。</w:t>
      </w:r>
    </w:p>
    <w:p>
      <w:pPr>
        <w:ind w:firstLine="270"/>
        <w:rPr>
          <w:rFonts w:ascii="仿宋" w:hAnsi="仿宋" w:eastAsia="仿宋" w:cs="仿宋"/>
        </w:rPr>
      </w:pPr>
      <w:r>
        <w:rPr>
          <w:rFonts w:hint="eastAsia" w:ascii="仿宋" w:hAnsi="仿宋" w:eastAsia="仿宋" w:cs="仿宋"/>
          <w:color w:val="000000"/>
        </w:rPr>
        <w:t>（3）服务期间，中选人应派员跟进本项目，根据本项目的要求，制定适合的策略，提出执行建议、跟踪和控制执行效果等（不限于以上服务内容）。</w:t>
      </w:r>
    </w:p>
    <w:p>
      <w:pPr>
        <w:rPr>
          <w:rFonts w:hint="eastAsia" w:ascii="仿宋_GB2312" w:eastAsia="仿宋_GB2312"/>
          <w:b/>
          <w:sz w:val="32"/>
          <w:szCs w:val="32"/>
        </w:rPr>
      </w:pPr>
    </w:p>
    <w:p>
      <w:r>
        <w:rPr>
          <w:rFonts w:hint="eastAsia" w:ascii="仿宋_GB2312" w:eastAsia="仿宋_GB2312"/>
          <w:b/>
          <w:sz w:val="32"/>
          <w:szCs w:val="32"/>
        </w:rPr>
        <w:t>四、评审/选定方法及标准</w:t>
      </w:r>
    </w:p>
    <w:p/>
    <w:tbl>
      <w:tblPr>
        <w:tblStyle w:val="15"/>
        <w:tblW w:w="8245"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244"/>
        <w:gridCol w:w="645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firstLine="0"/>
              <w:jc w:val="left"/>
              <w:rPr>
                <w:rFonts w:ascii="仿宋" w:hAnsi="仿宋" w:eastAsia="仿宋"/>
              </w:rPr>
            </w:pPr>
            <w:r>
              <w:rPr>
                <w:rFonts w:hint="eastAsia" w:ascii="仿宋" w:hAnsi="仿宋" w:eastAsia="仿宋"/>
              </w:rPr>
              <w:t>项号</w:t>
            </w:r>
          </w:p>
        </w:tc>
        <w:tc>
          <w:tcPr>
            <w:tcW w:w="124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内    容</w:t>
            </w:r>
          </w:p>
        </w:tc>
        <w:tc>
          <w:tcPr>
            <w:tcW w:w="6453"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rPr>
            </w:pPr>
            <w:r>
              <w:rPr>
                <w:rFonts w:hint="eastAsia" w:ascii="仿宋" w:hAnsi="仿宋" w:eastAsia="仿宋"/>
              </w:rPr>
              <w:t>说明与要求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1</w:t>
            </w:r>
          </w:p>
        </w:tc>
        <w:tc>
          <w:tcPr>
            <w:tcW w:w="124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评审办法</w:t>
            </w:r>
          </w:p>
        </w:tc>
        <w:tc>
          <w:tcPr>
            <w:tcW w:w="6453"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rPr>
            </w:pPr>
            <w:r>
              <w:rPr>
                <w:rFonts w:hint="eastAsia" w:ascii="仿宋" w:hAnsi="仿宋" w:eastAsia="仿宋"/>
              </w:rPr>
              <w:t>综合评审法（具体评审标准见后附表）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2</w:t>
            </w:r>
          </w:p>
        </w:tc>
        <w:tc>
          <w:tcPr>
            <w:tcW w:w="124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评审原则</w:t>
            </w:r>
          </w:p>
        </w:tc>
        <w:tc>
          <w:tcPr>
            <w:tcW w:w="6453"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 w:hAnsi="仿宋" w:eastAsia="仿宋"/>
              </w:rPr>
            </w:pPr>
            <w:r>
              <w:rPr>
                <w:rFonts w:hint="eastAsia" w:ascii="仿宋" w:hAnsi="仿宋" w:eastAsia="仿宋"/>
              </w:rPr>
              <w:t>按有关法律、法律及相关规定组建评审小组负责本次采购项目具体评审工作，本着公平、公正、科学、择优的原则，按照采购文件的要求/标准推荐评审结果。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3</w:t>
            </w:r>
          </w:p>
        </w:tc>
        <w:tc>
          <w:tcPr>
            <w:tcW w:w="124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资格/符合性审查</w:t>
            </w:r>
          </w:p>
        </w:tc>
        <w:tc>
          <w:tcPr>
            <w:tcW w:w="6453"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 w:hAnsi="仿宋" w:eastAsia="仿宋"/>
              </w:rPr>
            </w:pPr>
            <w:r>
              <w:rPr>
                <w:rFonts w:hint="eastAsia" w:ascii="仿宋" w:hAnsi="仿宋" w:eastAsia="仿宋"/>
              </w:rPr>
              <w:t>1. 评审小组将根据采购文件的规定，对各竞投文件进行资格及符合性审查。（具体审查标准见后附表）</w:t>
            </w:r>
          </w:p>
          <w:p>
            <w:pPr>
              <w:pStyle w:val="4"/>
              <w:spacing w:line="240" w:lineRule="atLeast"/>
              <w:jc w:val="both"/>
              <w:rPr>
                <w:rFonts w:ascii="仿宋" w:hAnsi="仿宋" w:eastAsia="仿宋"/>
              </w:rPr>
            </w:pPr>
            <w:r>
              <w:rPr>
                <w:rFonts w:hint="eastAsia" w:ascii="仿宋" w:hAnsi="仿宋" w:eastAsia="仿宋"/>
              </w:rPr>
              <w:t>2. 符合性审查结论意见采取少数服从多数原则，即超过半数评审人员的结论为“通过”则该竞投人通过资格及符合性审查，否则不通过。</w:t>
            </w:r>
          </w:p>
          <w:p>
            <w:pPr>
              <w:pStyle w:val="4"/>
              <w:spacing w:line="240" w:lineRule="atLeast"/>
              <w:jc w:val="both"/>
              <w:rPr>
                <w:rFonts w:ascii="仿宋" w:hAnsi="仿宋" w:eastAsia="仿宋"/>
              </w:rPr>
            </w:pPr>
            <w:r>
              <w:rPr>
                <w:rFonts w:hint="eastAsia" w:ascii="仿宋" w:hAnsi="仿宋" w:eastAsia="仿宋"/>
              </w:rPr>
              <w:t>3. 不能通过资格及符合性审查的竞投文件，不得参与综合评审排序。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4</w:t>
            </w:r>
          </w:p>
        </w:tc>
        <w:tc>
          <w:tcPr>
            <w:tcW w:w="124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竞投文件的澄清</w:t>
            </w:r>
          </w:p>
        </w:tc>
        <w:tc>
          <w:tcPr>
            <w:tcW w:w="6453"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 w:hAnsi="仿宋" w:eastAsia="仿宋"/>
              </w:rPr>
            </w:pPr>
            <w:r>
              <w:rPr>
                <w:rFonts w:hint="eastAsia" w:ascii="仿宋" w:hAnsi="仿宋" w:eastAsia="仿宋"/>
              </w:rPr>
              <w:t>1.对竞投文件中含义不明确、同类问题表述不一致或者有明显文字和计算错误的内容，评审小组可以书面形式要求竞投人作出必要的澄清、说明或者纠正。</w:t>
            </w:r>
          </w:p>
          <w:p>
            <w:pPr>
              <w:pStyle w:val="4"/>
              <w:spacing w:line="240" w:lineRule="atLeast"/>
              <w:jc w:val="both"/>
              <w:rPr>
                <w:rFonts w:ascii="仿宋" w:hAnsi="仿宋" w:eastAsia="仿宋"/>
              </w:rPr>
            </w:pPr>
            <w:r>
              <w:rPr>
                <w:rFonts w:hint="eastAsia" w:ascii="仿宋" w:hAnsi="仿宋" w:eastAsia="仿宋"/>
              </w:rPr>
              <w:t>2.竞投人的澄清、说明或者补正应当采用书面形式，由其授权的代表签字，并不得超出竞投文件的范围或者改变竞投文件的实质性内容。</w:t>
            </w:r>
          </w:p>
          <w:p>
            <w:pPr>
              <w:pStyle w:val="4"/>
              <w:spacing w:line="240" w:lineRule="atLeast"/>
              <w:jc w:val="both"/>
              <w:rPr>
                <w:rFonts w:ascii="仿宋" w:hAnsi="仿宋" w:eastAsia="仿宋"/>
              </w:rPr>
            </w:pPr>
            <w:r>
              <w:rPr>
                <w:rFonts w:hint="eastAsia" w:ascii="仿宋" w:hAnsi="仿宋" w:eastAsia="仿宋"/>
              </w:rPr>
              <w:t>3.除上述规定的情形之外，评审小组在评审过程中，不得接收来自评审现场以外的任何形式的文件资料。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5</w:t>
            </w:r>
          </w:p>
        </w:tc>
        <w:tc>
          <w:tcPr>
            <w:tcW w:w="124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rPr>
            </w:pPr>
            <w:r>
              <w:rPr>
                <w:rFonts w:hint="eastAsia" w:ascii="仿宋" w:hAnsi="仿宋" w:eastAsia="仿宋"/>
              </w:rPr>
              <w:t>评审标准</w:t>
            </w:r>
          </w:p>
        </w:tc>
        <w:tc>
          <w:tcPr>
            <w:tcW w:w="6453" w:type="dxa"/>
            <w:tcBorders>
              <w:top w:val="single" w:color="auto" w:sz="4" w:space="0"/>
              <w:left w:val="single" w:color="auto" w:sz="4" w:space="0"/>
              <w:bottom w:val="single" w:color="auto" w:sz="4" w:space="0"/>
              <w:right w:val="single" w:color="auto" w:sz="4" w:space="0"/>
            </w:tcBorders>
            <w:vAlign w:val="center"/>
          </w:tcPr>
          <w:p>
            <w:pPr>
              <w:pStyle w:val="4"/>
              <w:spacing w:line="240" w:lineRule="atLeast"/>
              <w:jc w:val="both"/>
              <w:rPr>
                <w:rFonts w:ascii="仿宋" w:hAnsi="仿宋" w:eastAsia="仿宋"/>
              </w:rPr>
            </w:pPr>
            <w:r>
              <w:rPr>
                <w:rFonts w:hint="eastAsia" w:ascii="仿宋" w:hAnsi="仿宋" w:eastAsia="仿宋"/>
              </w:rPr>
              <w:t xml:space="preserve">1.由评审人员对所有有效竞投文件进行评审和排序。（具体评审标准见后附表） </w:t>
            </w:r>
          </w:p>
          <w:p>
            <w:pPr>
              <w:pStyle w:val="4"/>
              <w:spacing w:line="240" w:lineRule="atLeast"/>
              <w:jc w:val="both"/>
              <w:rPr>
                <w:rFonts w:ascii="仿宋" w:hAnsi="仿宋" w:eastAsia="仿宋"/>
              </w:rPr>
            </w:pPr>
            <w:r>
              <w:rPr>
                <w:rFonts w:hint="eastAsia" w:ascii="仿宋" w:hAnsi="仿宋" w:eastAsia="仿宋"/>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bookmarkEnd w:id="2"/>
    <w:bookmarkEnd w:id="3"/>
    <w:bookmarkEnd w:id="4"/>
    <w:bookmarkEnd w:id="5"/>
    <w:bookmarkEnd w:id="6"/>
    <w:p>
      <w:pPr>
        <w:rPr>
          <w:rFonts w:hint="eastAsia" w:ascii="仿宋" w:hAnsi="仿宋" w:eastAsia="仿宋"/>
          <w:b w:val="0"/>
          <w:sz w:val="24"/>
          <w:szCs w:val="24"/>
        </w:rPr>
      </w:pPr>
      <w:bookmarkStart w:id="9" w:name="_Toc334797765"/>
    </w:p>
    <w:p>
      <w:pPr>
        <w:rPr>
          <w:rFonts w:hint="eastAsia" w:ascii="仿宋" w:hAnsi="仿宋" w:eastAsia="仿宋"/>
          <w:b w:val="0"/>
          <w:sz w:val="24"/>
          <w:szCs w:val="24"/>
        </w:rPr>
      </w:pPr>
    </w:p>
    <w:p>
      <w:pPr>
        <w:rPr>
          <w:rFonts w:ascii="仿宋" w:hAnsi="仿宋" w:eastAsia="仿宋"/>
          <w:b w:val="0"/>
          <w:sz w:val="24"/>
          <w:szCs w:val="24"/>
        </w:rPr>
      </w:pPr>
      <w:r>
        <w:rPr>
          <w:rFonts w:hint="eastAsia" w:ascii="仿宋" w:hAnsi="仿宋" w:eastAsia="仿宋"/>
          <w:b w:val="0"/>
          <w:sz w:val="24"/>
          <w:szCs w:val="24"/>
        </w:rPr>
        <w:t>评审/选定方法及标准-附表：</w:t>
      </w:r>
    </w:p>
    <w:p>
      <w:pPr>
        <w:pStyle w:val="3"/>
        <w:spacing w:line="240" w:lineRule="auto"/>
        <w:jc w:val="center"/>
        <w:rPr>
          <w:rFonts w:ascii="仿宋_GB2312" w:hAnsi="宋体" w:eastAsia="仿宋_GB2312" w:cs="宋体"/>
          <w:sz w:val="30"/>
          <w:szCs w:val="30"/>
        </w:rPr>
      </w:pPr>
      <w:bookmarkStart w:id="10" w:name="OLE_LINK3"/>
      <w:bookmarkStart w:id="11" w:name="OLE_LINK2"/>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lang w:eastAsia="zh-CN"/>
        </w:rPr>
        <w:t>广州城投·禧悦府道路指示蓝白牌&amp;包柱户外广告投放服务</w:t>
      </w:r>
      <w:r>
        <w:rPr>
          <w:rFonts w:hint="eastAsia" w:ascii="仿宋" w:hAnsi="仿宋" w:eastAsia="仿宋"/>
        </w:rPr>
        <w:t xml:space="preserve">项目  </w:t>
      </w:r>
    </w:p>
    <w:p>
      <w:pPr>
        <w:spacing w:line="360" w:lineRule="auto"/>
        <w:jc w:val="both"/>
        <w:rPr>
          <w:rFonts w:ascii="仿宋" w:hAnsi="仿宋" w:eastAsia="仿宋"/>
        </w:rPr>
      </w:pPr>
      <w:r>
        <w:rPr>
          <w:rFonts w:hint="eastAsia" w:ascii="仿宋" w:hAnsi="仿宋" w:eastAsia="仿宋"/>
        </w:rPr>
        <w:t>（请在通过符合性审查框中打“√”，反之打“×”。）</w:t>
      </w:r>
    </w:p>
    <w:tbl>
      <w:tblPr>
        <w:tblStyle w:val="15"/>
        <w:tblW w:w="83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706"/>
        <w:gridCol w:w="1004"/>
        <w:gridCol w:w="1018"/>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rPr>
            </w:pPr>
            <w:r>
              <w:rPr>
                <w:rFonts w:hint="eastAsia" w:ascii="仿宋" w:hAnsi="仿宋" w:eastAsia="仿宋"/>
                <w:color w:val="000000"/>
              </w:rPr>
              <w:t>序号</w:t>
            </w:r>
          </w:p>
        </w:tc>
        <w:tc>
          <w:tcPr>
            <w:tcW w:w="4706" w:type="dxa"/>
            <w:vAlign w:val="center"/>
          </w:tcPr>
          <w:p>
            <w:pPr>
              <w:jc w:val="center"/>
              <w:rPr>
                <w:rFonts w:ascii="仿宋" w:hAnsi="仿宋" w:eastAsia="仿宋"/>
                <w:color w:val="000000"/>
              </w:rPr>
            </w:pPr>
            <w:r>
              <w:rPr>
                <w:rFonts w:hint="eastAsia" w:ascii="仿宋" w:hAnsi="仿宋" w:eastAsia="仿宋"/>
                <w:color w:val="000000"/>
              </w:rPr>
              <w:t>评审内容</w:t>
            </w:r>
          </w:p>
        </w:tc>
        <w:tc>
          <w:tcPr>
            <w:tcW w:w="1004" w:type="dxa"/>
            <w:vAlign w:val="center"/>
          </w:tcPr>
          <w:p>
            <w:pPr>
              <w:jc w:val="center"/>
              <w:rPr>
                <w:rFonts w:ascii="仿宋" w:hAnsi="仿宋" w:eastAsia="仿宋" w:cs="宋体"/>
                <w:color w:val="000000"/>
              </w:rPr>
            </w:pPr>
            <w:r>
              <w:rPr>
                <w:rFonts w:hint="eastAsia" w:ascii="仿宋" w:hAnsi="仿宋" w:eastAsia="仿宋" w:cs="宋体"/>
                <w:color w:val="000000"/>
              </w:rPr>
              <w:t>竞投人A</w:t>
            </w:r>
          </w:p>
        </w:tc>
        <w:tc>
          <w:tcPr>
            <w:tcW w:w="1018" w:type="dxa"/>
            <w:vAlign w:val="center"/>
          </w:tcPr>
          <w:p>
            <w:pPr>
              <w:jc w:val="center"/>
              <w:rPr>
                <w:rFonts w:ascii="仿宋" w:hAnsi="仿宋" w:eastAsia="仿宋" w:cs="宋体"/>
                <w:color w:val="000000"/>
              </w:rPr>
            </w:pPr>
            <w:r>
              <w:rPr>
                <w:rFonts w:hint="eastAsia" w:ascii="仿宋" w:hAnsi="仿宋" w:eastAsia="仿宋" w:cs="宋体"/>
                <w:color w:val="000000"/>
              </w:rPr>
              <w:t>竞投人B</w:t>
            </w:r>
          </w:p>
        </w:tc>
        <w:tc>
          <w:tcPr>
            <w:tcW w:w="991" w:type="dxa"/>
            <w:vAlign w:val="center"/>
          </w:tcPr>
          <w:p>
            <w:pPr>
              <w:jc w:val="center"/>
              <w:rPr>
                <w:rFonts w:ascii="仿宋" w:hAnsi="仿宋" w:eastAsia="仿宋" w:cs="宋体"/>
                <w:color w:val="000000"/>
              </w:rPr>
            </w:pPr>
            <w:r>
              <w:rPr>
                <w:rFonts w:hint="eastAsia" w:ascii="仿宋" w:hAnsi="仿宋" w:eastAsia="仿宋" w:cs="宋体"/>
                <w:color w:val="000000"/>
              </w:rPr>
              <w:t>竞投人C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rPr>
            </w:pPr>
            <w:r>
              <w:rPr>
                <w:rFonts w:hint="eastAsia" w:ascii="仿宋" w:hAnsi="仿宋" w:eastAsia="仿宋"/>
                <w:color w:val="000000"/>
              </w:rPr>
              <w:t>1</w:t>
            </w:r>
          </w:p>
        </w:tc>
        <w:tc>
          <w:tcPr>
            <w:tcW w:w="4706" w:type="dxa"/>
            <w:vAlign w:val="center"/>
          </w:tcPr>
          <w:p>
            <w:pPr>
              <w:rPr>
                <w:rFonts w:ascii="仿宋" w:hAnsi="仿宋" w:eastAsia="仿宋"/>
                <w:color w:val="000000"/>
              </w:rPr>
            </w:pPr>
            <w:r>
              <w:rPr>
                <w:rFonts w:hint="eastAsia" w:ascii="仿宋" w:hAnsi="仿宋" w:eastAsia="仿宋"/>
                <w:color w:val="000000"/>
              </w:rPr>
              <w:t>竞投人必须是国内合法注册的法人或其他组织,</w:t>
            </w:r>
            <w:r>
              <w:rPr>
                <w:rFonts w:hint="eastAsia" w:ascii="仿宋" w:hAnsi="仿宋" w:eastAsia="仿宋"/>
              </w:rPr>
              <w:t xml:space="preserve"> 并已办理合法税务登记，具有开具相应发票能力；</w:t>
            </w:r>
          </w:p>
        </w:tc>
        <w:tc>
          <w:tcPr>
            <w:tcW w:w="1004" w:type="dxa"/>
            <w:vAlign w:val="center"/>
          </w:tcPr>
          <w:p>
            <w:pPr>
              <w:rPr>
                <w:rFonts w:ascii="仿宋" w:hAnsi="仿宋" w:eastAsia="仿宋"/>
                <w:color w:val="000000"/>
              </w:rPr>
            </w:pPr>
          </w:p>
        </w:tc>
        <w:tc>
          <w:tcPr>
            <w:tcW w:w="1018" w:type="dxa"/>
            <w:vAlign w:val="center"/>
          </w:tcPr>
          <w:p>
            <w:pPr>
              <w:rPr>
                <w:rFonts w:ascii="仿宋" w:hAnsi="仿宋" w:eastAsia="仿宋"/>
                <w:color w:val="000000"/>
              </w:rPr>
            </w:pPr>
          </w:p>
        </w:tc>
        <w:tc>
          <w:tcPr>
            <w:tcW w:w="991" w:type="dxa"/>
            <w:vAlign w:val="center"/>
          </w:tcPr>
          <w:p>
            <w:pPr>
              <w:rPr>
                <w:rFonts w:ascii="仿宋" w:hAnsi="仿宋" w:eastAsia="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rPr>
            </w:pPr>
            <w:r>
              <w:rPr>
                <w:rFonts w:hint="eastAsia" w:ascii="仿宋" w:hAnsi="仿宋" w:eastAsia="仿宋"/>
                <w:color w:val="000000"/>
              </w:rPr>
              <w:t>2</w:t>
            </w:r>
          </w:p>
        </w:tc>
        <w:tc>
          <w:tcPr>
            <w:tcW w:w="4706" w:type="dxa"/>
            <w:vAlign w:val="center"/>
          </w:tcPr>
          <w:p>
            <w:pPr>
              <w:rPr>
                <w:rFonts w:ascii="仿宋" w:hAnsi="仿宋" w:eastAsia="仿宋"/>
                <w:color w:val="000000"/>
              </w:rPr>
            </w:pPr>
            <w:r>
              <w:rPr>
                <w:rFonts w:hint="eastAsia" w:ascii="仿宋" w:hAnsi="仿宋" w:eastAsia="仿宋"/>
                <w:color w:val="000000"/>
              </w:rPr>
              <w:t>有效法人证明书及授权委托书；</w:t>
            </w:r>
          </w:p>
        </w:tc>
        <w:tc>
          <w:tcPr>
            <w:tcW w:w="1004" w:type="dxa"/>
            <w:vAlign w:val="center"/>
          </w:tcPr>
          <w:p>
            <w:pPr>
              <w:rPr>
                <w:rFonts w:ascii="仿宋" w:hAnsi="仿宋" w:eastAsia="仿宋"/>
                <w:color w:val="000000"/>
              </w:rPr>
            </w:pPr>
          </w:p>
        </w:tc>
        <w:tc>
          <w:tcPr>
            <w:tcW w:w="1018" w:type="dxa"/>
            <w:vAlign w:val="center"/>
          </w:tcPr>
          <w:p>
            <w:pPr>
              <w:rPr>
                <w:rFonts w:ascii="仿宋" w:hAnsi="仿宋" w:eastAsia="仿宋"/>
                <w:color w:val="000000"/>
              </w:rPr>
            </w:pPr>
          </w:p>
        </w:tc>
        <w:tc>
          <w:tcPr>
            <w:tcW w:w="991" w:type="dxa"/>
            <w:vAlign w:val="center"/>
          </w:tcPr>
          <w:p>
            <w:pPr>
              <w:rPr>
                <w:rFonts w:ascii="仿宋" w:hAnsi="仿宋" w:eastAsia="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rPr>
            </w:pPr>
            <w:r>
              <w:rPr>
                <w:rFonts w:hint="eastAsia" w:ascii="仿宋" w:hAnsi="仿宋" w:eastAsia="仿宋"/>
                <w:color w:val="000000"/>
              </w:rPr>
              <w:t>3</w:t>
            </w:r>
          </w:p>
        </w:tc>
        <w:tc>
          <w:tcPr>
            <w:tcW w:w="4706" w:type="dxa"/>
            <w:vAlign w:val="center"/>
          </w:tcPr>
          <w:p>
            <w:pPr>
              <w:rPr>
                <w:rFonts w:ascii="仿宋" w:hAnsi="仿宋" w:eastAsia="仿宋"/>
                <w:color w:val="000000"/>
              </w:rPr>
            </w:pPr>
            <w:r>
              <w:rPr>
                <w:rFonts w:hint="eastAsia" w:ascii="仿宋" w:hAnsi="仿宋" w:eastAsia="仿宋"/>
                <w:color w:val="000000"/>
              </w:rPr>
              <w:t>竞投报价唯一且不高于招选人需求规定的最高限价。</w:t>
            </w:r>
          </w:p>
        </w:tc>
        <w:tc>
          <w:tcPr>
            <w:tcW w:w="1004" w:type="dxa"/>
            <w:vAlign w:val="center"/>
          </w:tcPr>
          <w:p>
            <w:pPr>
              <w:rPr>
                <w:rFonts w:ascii="仿宋" w:hAnsi="仿宋" w:eastAsia="仿宋"/>
                <w:color w:val="000000"/>
              </w:rPr>
            </w:pPr>
          </w:p>
        </w:tc>
        <w:tc>
          <w:tcPr>
            <w:tcW w:w="1018" w:type="dxa"/>
            <w:vAlign w:val="center"/>
          </w:tcPr>
          <w:p>
            <w:pPr>
              <w:rPr>
                <w:rFonts w:ascii="仿宋" w:hAnsi="仿宋" w:eastAsia="仿宋"/>
                <w:color w:val="000000"/>
              </w:rPr>
            </w:pPr>
          </w:p>
        </w:tc>
        <w:tc>
          <w:tcPr>
            <w:tcW w:w="991" w:type="dxa"/>
            <w:vAlign w:val="center"/>
          </w:tcPr>
          <w:p>
            <w:pPr>
              <w:rPr>
                <w:rFonts w:ascii="仿宋" w:hAnsi="仿宋" w:eastAsia="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381" w:type="dxa"/>
            <w:gridSpan w:val="2"/>
            <w:vAlign w:val="center"/>
          </w:tcPr>
          <w:p>
            <w:pPr>
              <w:jc w:val="center"/>
              <w:rPr>
                <w:rFonts w:ascii="仿宋" w:hAnsi="仿宋" w:eastAsia="仿宋"/>
                <w:color w:val="000000"/>
              </w:rPr>
            </w:pPr>
            <w:r>
              <w:rPr>
                <w:rFonts w:hint="eastAsia" w:ascii="仿宋" w:hAnsi="仿宋" w:eastAsia="仿宋"/>
                <w:color w:val="000000"/>
              </w:rPr>
              <w:t>结论（通过/不通过）</w:t>
            </w:r>
          </w:p>
        </w:tc>
        <w:tc>
          <w:tcPr>
            <w:tcW w:w="1004" w:type="dxa"/>
            <w:vAlign w:val="center"/>
          </w:tcPr>
          <w:p>
            <w:pPr>
              <w:rPr>
                <w:rFonts w:ascii="仿宋" w:hAnsi="仿宋" w:eastAsia="仿宋"/>
                <w:color w:val="000000"/>
              </w:rPr>
            </w:pPr>
          </w:p>
        </w:tc>
        <w:tc>
          <w:tcPr>
            <w:tcW w:w="1018" w:type="dxa"/>
            <w:vAlign w:val="center"/>
          </w:tcPr>
          <w:p>
            <w:pPr>
              <w:rPr>
                <w:rFonts w:ascii="仿宋" w:hAnsi="仿宋" w:eastAsia="仿宋"/>
                <w:color w:val="000000"/>
              </w:rPr>
            </w:pPr>
          </w:p>
        </w:tc>
        <w:tc>
          <w:tcPr>
            <w:tcW w:w="991" w:type="dxa"/>
            <w:vAlign w:val="center"/>
          </w:tcPr>
          <w:p>
            <w:pPr>
              <w:rPr>
                <w:rFonts w:ascii="仿宋" w:hAnsi="仿宋" w:eastAsia="仿宋"/>
                <w:color w:val="000000"/>
              </w:rPr>
            </w:pPr>
          </w:p>
        </w:tc>
      </w:tr>
    </w:tbl>
    <w:p>
      <w:pPr>
        <w:jc w:val="both"/>
        <w:rPr>
          <w:rFonts w:ascii="宋体" w:hAnsi="宋体" w:cs="宋体"/>
          <w:b/>
          <w:color w:val="000000"/>
          <w:sz w:val="32"/>
          <w:szCs w:val="32"/>
        </w:rPr>
      </w:pPr>
      <w:r>
        <w:br w:type="page"/>
      </w:r>
      <w:r>
        <w:rPr>
          <w:rFonts w:hint="eastAsia" w:ascii="宋体" w:hAnsi="宋体" w:cs="宋体"/>
          <w:b/>
          <w:color w:val="000000"/>
          <w:sz w:val="32"/>
          <w:szCs w:val="32"/>
        </w:rPr>
        <w:t>综合评分表</w:t>
      </w:r>
      <w:bookmarkEnd w:id="10"/>
      <w:bookmarkEnd w:id="11"/>
    </w:p>
    <w:tbl>
      <w:tblPr>
        <w:tblStyle w:val="15"/>
        <w:tblW w:w="9080" w:type="dxa"/>
        <w:jc w:val="center"/>
        <w:tblLayout w:type="fixed"/>
        <w:tblCellMar>
          <w:top w:w="0" w:type="dxa"/>
          <w:left w:w="108" w:type="dxa"/>
          <w:bottom w:w="0" w:type="dxa"/>
          <w:right w:w="108" w:type="dxa"/>
        </w:tblCellMar>
      </w:tblPr>
      <w:tblGrid>
        <w:gridCol w:w="1066"/>
        <w:gridCol w:w="756"/>
        <w:gridCol w:w="1197"/>
        <w:gridCol w:w="1095"/>
        <w:gridCol w:w="4966"/>
      </w:tblGrid>
      <w:tr>
        <w:tblPrEx>
          <w:tblCellMar>
            <w:top w:w="0" w:type="dxa"/>
            <w:left w:w="108" w:type="dxa"/>
            <w:bottom w:w="0" w:type="dxa"/>
            <w:right w:w="108" w:type="dxa"/>
          </w:tblCellMar>
        </w:tblPrEx>
        <w:trPr>
          <w:trHeight w:val="510" w:hRule="atLeast"/>
          <w:jc w:val="center"/>
        </w:trPr>
        <w:tc>
          <w:tcPr>
            <w:tcW w:w="1066"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评分项目</w:t>
            </w:r>
          </w:p>
        </w:tc>
        <w:tc>
          <w:tcPr>
            <w:tcW w:w="756"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分值</w:t>
            </w:r>
          </w:p>
        </w:tc>
        <w:tc>
          <w:tcPr>
            <w:tcW w:w="1197"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评分因素</w:t>
            </w:r>
          </w:p>
        </w:tc>
        <w:tc>
          <w:tcPr>
            <w:tcW w:w="1095"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分值分配</w:t>
            </w:r>
          </w:p>
        </w:tc>
        <w:tc>
          <w:tcPr>
            <w:tcW w:w="4966" w:type="dxa"/>
            <w:tcBorders>
              <w:top w:val="single" w:color="auto" w:sz="4" w:space="0"/>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说明</w:t>
            </w:r>
          </w:p>
        </w:tc>
      </w:tr>
      <w:tr>
        <w:tblPrEx>
          <w:tblCellMar>
            <w:top w:w="0" w:type="dxa"/>
            <w:left w:w="108" w:type="dxa"/>
            <w:bottom w:w="0" w:type="dxa"/>
            <w:right w:w="108" w:type="dxa"/>
          </w:tblCellMar>
        </w:tblPrEx>
        <w:trPr>
          <w:trHeight w:val="765" w:hRule="atLeast"/>
          <w:jc w:val="center"/>
        </w:trPr>
        <w:tc>
          <w:tcPr>
            <w:tcW w:w="1066" w:type="dxa"/>
            <w:tcBorders>
              <w:top w:val="nil"/>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s="宋体"/>
                <w:lang w:eastAsia="zh-CN"/>
              </w:rPr>
            </w:pPr>
            <w:r>
              <w:rPr>
                <w:rFonts w:hint="eastAsia" w:ascii="仿宋" w:hAnsi="仿宋" w:eastAsia="仿宋" w:cs="宋体"/>
              </w:rPr>
              <w:t>价格</w:t>
            </w:r>
            <w:r>
              <w:rPr>
                <w:rFonts w:hint="eastAsia" w:ascii="仿宋" w:hAnsi="仿宋" w:eastAsia="仿宋" w:cs="宋体"/>
                <w:lang w:val="en-US" w:eastAsia="zh-CN"/>
              </w:rPr>
              <w:t>分</w:t>
            </w:r>
          </w:p>
        </w:tc>
        <w:tc>
          <w:tcPr>
            <w:tcW w:w="756"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ascii="仿宋" w:hAnsi="仿宋" w:eastAsia="仿宋" w:cs="宋体"/>
              </w:rPr>
              <w:t>5</w:t>
            </w:r>
            <w:r>
              <w:rPr>
                <w:rFonts w:hint="eastAsia" w:ascii="仿宋" w:hAnsi="仿宋" w:eastAsia="仿宋" w:cs="宋体"/>
              </w:rPr>
              <w:t>0</w:t>
            </w:r>
          </w:p>
        </w:tc>
        <w:tc>
          <w:tcPr>
            <w:tcW w:w="1197"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价格得分</w:t>
            </w:r>
          </w:p>
        </w:tc>
        <w:tc>
          <w:tcPr>
            <w:tcW w:w="1095"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ascii="仿宋" w:hAnsi="仿宋" w:eastAsia="仿宋" w:cs="宋体"/>
              </w:rPr>
              <w:t>5</w:t>
            </w:r>
            <w:r>
              <w:rPr>
                <w:rFonts w:hint="eastAsia" w:ascii="仿宋" w:hAnsi="仿宋" w:eastAsia="仿宋" w:cs="宋体"/>
              </w:rPr>
              <w:t>0分</w:t>
            </w:r>
          </w:p>
        </w:tc>
        <w:tc>
          <w:tcPr>
            <w:tcW w:w="4966" w:type="dxa"/>
            <w:tcBorders>
              <w:top w:val="nil"/>
              <w:left w:val="nil"/>
              <w:bottom w:val="single" w:color="auto" w:sz="4" w:space="0"/>
              <w:right w:val="single" w:color="auto" w:sz="4" w:space="0"/>
            </w:tcBorders>
            <w:shd w:val="clear" w:color="000000" w:fill="auto"/>
            <w:vAlign w:val="center"/>
          </w:tcPr>
          <w:p>
            <w:pPr>
              <w:jc w:val="left"/>
              <w:rPr>
                <w:rFonts w:ascii="仿宋" w:hAnsi="仿宋" w:eastAsia="仿宋" w:cs="宋体"/>
              </w:rPr>
            </w:pPr>
            <w:r>
              <w:rPr>
                <w:rFonts w:hint="eastAsia" w:ascii="仿宋" w:hAnsi="仿宋" w:eastAsia="仿宋" w:cs="宋体"/>
              </w:rPr>
              <w:t>通过本项目资格及符合性检查且若位于[项目限价*80%，项目限价]区间的最低竞投报价（不含税，下同）为评标基准价得50分，其余报价单位的报价每高于评标基准价</w:t>
            </w:r>
            <w:r>
              <w:rPr>
                <w:rFonts w:hint="eastAsia" w:ascii="仿宋" w:hAnsi="仿宋" w:eastAsia="仿宋" w:cs="宋体"/>
                <w:lang w:val="en-US" w:eastAsia="zh-CN"/>
              </w:rPr>
              <w:t>5</w:t>
            </w:r>
            <w:r>
              <w:rPr>
                <w:rFonts w:hint="eastAsia" w:ascii="仿宋" w:hAnsi="仿宋" w:eastAsia="仿宋" w:cs="宋体"/>
              </w:rPr>
              <w:t>%，扣2分，未达到5%按5%扣取，得出经济分，精确到小数点后两位。凡不在本项目设置的合理报价区间范围内的报价单位得0分。</w:t>
            </w:r>
          </w:p>
        </w:tc>
      </w:tr>
      <w:tr>
        <w:tblPrEx>
          <w:tblCellMar>
            <w:top w:w="0" w:type="dxa"/>
            <w:left w:w="108" w:type="dxa"/>
            <w:bottom w:w="0" w:type="dxa"/>
            <w:right w:w="108" w:type="dxa"/>
          </w:tblCellMar>
        </w:tblPrEx>
        <w:trPr>
          <w:trHeight w:val="1020" w:hRule="atLeast"/>
          <w:jc w:val="center"/>
        </w:trPr>
        <w:tc>
          <w:tcPr>
            <w:tcW w:w="1066" w:type="dxa"/>
            <w:tcBorders>
              <w:top w:val="nil"/>
              <w:left w:val="single" w:color="auto" w:sz="4" w:space="0"/>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商务评分</w:t>
            </w:r>
          </w:p>
        </w:tc>
        <w:tc>
          <w:tcPr>
            <w:tcW w:w="756" w:type="dxa"/>
            <w:tcBorders>
              <w:top w:val="nil"/>
              <w:left w:val="single" w:color="auto" w:sz="4" w:space="0"/>
              <w:bottom w:val="single" w:color="auto" w:sz="4" w:space="0"/>
              <w:right w:val="single" w:color="auto" w:sz="4" w:space="0"/>
            </w:tcBorders>
            <w:shd w:val="clear" w:color="000000" w:fill="auto"/>
            <w:vAlign w:val="center"/>
          </w:tcPr>
          <w:p>
            <w:pPr>
              <w:jc w:val="center"/>
              <w:rPr>
                <w:rFonts w:ascii="仿宋" w:hAnsi="仿宋" w:eastAsia="仿宋" w:cs="宋体"/>
              </w:rPr>
            </w:pPr>
            <w:r>
              <w:rPr>
                <w:rFonts w:ascii="仿宋" w:hAnsi="仿宋" w:eastAsia="仿宋" w:cs="宋体"/>
              </w:rPr>
              <w:t>5</w:t>
            </w:r>
          </w:p>
        </w:tc>
        <w:tc>
          <w:tcPr>
            <w:tcW w:w="1197"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公司业绩及同类经验</w:t>
            </w:r>
          </w:p>
        </w:tc>
        <w:tc>
          <w:tcPr>
            <w:tcW w:w="1095"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ascii="仿宋" w:hAnsi="仿宋" w:eastAsia="仿宋" w:cs="宋体"/>
              </w:rPr>
              <w:t>5分</w:t>
            </w:r>
          </w:p>
        </w:tc>
        <w:tc>
          <w:tcPr>
            <w:tcW w:w="4966" w:type="dxa"/>
            <w:tcBorders>
              <w:top w:val="nil"/>
              <w:left w:val="nil"/>
              <w:bottom w:val="single" w:color="auto" w:sz="4" w:space="0"/>
              <w:right w:val="single" w:color="auto" w:sz="4" w:space="0"/>
            </w:tcBorders>
            <w:shd w:val="clear" w:color="000000" w:fill="auto"/>
            <w:vAlign w:val="center"/>
          </w:tcPr>
          <w:p>
            <w:pPr>
              <w:jc w:val="left"/>
              <w:rPr>
                <w:rFonts w:ascii="仿宋" w:hAnsi="仿宋" w:eastAsia="仿宋" w:cs="宋体"/>
              </w:rPr>
            </w:pPr>
            <w:r>
              <w:rPr>
                <w:rFonts w:hint="eastAsia" w:ascii="仿宋" w:hAnsi="仿宋" w:eastAsia="仿宋" w:cs="宋体"/>
              </w:rPr>
              <w:t>公司资信情况良好，服务过同类性质项目，每提供相应合同或中标通知书等相关证明文件获得1</w:t>
            </w:r>
            <w:r>
              <w:rPr>
                <w:rFonts w:ascii="仿宋" w:hAnsi="仿宋" w:eastAsia="仿宋" w:cs="宋体"/>
              </w:rPr>
              <w:t>分，</w:t>
            </w:r>
            <w:r>
              <w:rPr>
                <w:rFonts w:hint="eastAsia" w:ascii="仿宋" w:hAnsi="仿宋" w:eastAsia="仿宋" w:cs="宋体"/>
              </w:rPr>
              <w:t>最高得5分。</w:t>
            </w:r>
          </w:p>
        </w:tc>
      </w:tr>
      <w:tr>
        <w:tblPrEx>
          <w:tblCellMar>
            <w:top w:w="0" w:type="dxa"/>
            <w:left w:w="108" w:type="dxa"/>
            <w:bottom w:w="0" w:type="dxa"/>
            <w:right w:w="108" w:type="dxa"/>
          </w:tblCellMar>
        </w:tblPrEx>
        <w:trPr>
          <w:trHeight w:val="1200" w:hRule="atLeast"/>
          <w:jc w:val="center"/>
        </w:trPr>
        <w:tc>
          <w:tcPr>
            <w:tcW w:w="1066" w:type="dxa"/>
            <w:vMerge w:val="restart"/>
            <w:tcBorders>
              <w:top w:val="nil"/>
              <w:left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服务方案评分</w:t>
            </w:r>
          </w:p>
        </w:tc>
        <w:tc>
          <w:tcPr>
            <w:tcW w:w="756" w:type="dxa"/>
            <w:vMerge w:val="restart"/>
            <w:tcBorders>
              <w:top w:val="nil"/>
              <w:left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lang w:val="en-US" w:eastAsia="zh-CN"/>
              </w:rPr>
              <w:t>3</w:t>
            </w:r>
            <w:r>
              <w:rPr>
                <w:rFonts w:ascii="仿宋" w:hAnsi="仿宋" w:eastAsia="仿宋" w:cs="宋体"/>
              </w:rPr>
              <w:t>0</w:t>
            </w:r>
          </w:p>
        </w:tc>
        <w:tc>
          <w:tcPr>
            <w:tcW w:w="1197" w:type="dxa"/>
            <w:vMerge w:val="restart"/>
            <w:tcBorders>
              <w:top w:val="nil"/>
              <w:left w:val="nil"/>
              <w:right w:val="single" w:color="auto" w:sz="4" w:space="0"/>
            </w:tcBorders>
            <w:shd w:val="clear" w:color="000000" w:fill="auto"/>
            <w:vAlign w:val="center"/>
          </w:tcPr>
          <w:p>
            <w:pPr>
              <w:jc w:val="center"/>
              <w:rPr>
                <w:rFonts w:hint="default" w:ascii="仿宋" w:hAnsi="仿宋" w:eastAsia="仿宋" w:cs="宋体"/>
                <w:lang w:val="en-US" w:eastAsia="zh-CN"/>
              </w:rPr>
            </w:pPr>
            <w:r>
              <w:rPr>
                <w:rFonts w:hint="eastAsia" w:ascii="仿宋" w:hAnsi="仿宋" w:eastAsia="仿宋" w:cs="宋体"/>
                <w:lang w:val="en-US" w:eastAsia="zh-CN"/>
              </w:rPr>
              <w:t>投放方案及效果</w:t>
            </w:r>
          </w:p>
        </w:tc>
        <w:tc>
          <w:tcPr>
            <w:tcW w:w="1095"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lang w:val="en-US" w:eastAsia="zh-CN"/>
              </w:rPr>
              <w:t>21-30</w:t>
            </w:r>
            <w:r>
              <w:rPr>
                <w:rFonts w:ascii="仿宋" w:hAnsi="仿宋" w:eastAsia="仿宋" w:cs="宋体"/>
              </w:rPr>
              <w:t>分</w:t>
            </w:r>
          </w:p>
        </w:tc>
        <w:tc>
          <w:tcPr>
            <w:tcW w:w="4966" w:type="dxa"/>
            <w:tcBorders>
              <w:top w:val="nil"/>
              <w:left w:val="nil"/>
              <w:bottom w:val="single" w:color="auto" w:sz="4" w:space="0"/>
              <w:right w:val="single" w:color="auto" w:sz="4" w:space="0"/>
            </w:tcBorders>
            <w:shd w:val="clear" w:color="000000" w:fill="auto"/>
            <w:vAlign w:val="center"/>
          </w:tcPr>
          <w:p>
            <w:pPr>
              <w:pStyle w:val="20"/>
              <w:numPr>
                <w:ilvl w:val="0"/>
                <w:numId w:val="0"/>
              </w:numPr>
              <w:ind w:leftChars="0"/>
              <w:jc w:val="left"/>
              <w:rPr>
                <w:rFonts w:ascii="仿宋" w:hAnsi="仿宋" w:eastAsia="仿宋" w:cs="宋体"/>
              </w:rPr>
            </w:pPr>
            <w:r>
              <w:rPr>
                <w:rFonts w:hint="eastAsia" w:ascii="仿宋" w:hAnsi="仿宋" w:eastAsia="仿宋" w:cs="仿宋"/>
                <w:bCs/>
                <w:kern w:val="0"/>
                <w:sz w:val="24"/>
                <w:szCs w:val="24"/>
                <w:lang w:val="en-US" w:eastAsia="zh-CN" w:bidi="ar"/>
              </w:rPr>
              <w:t>位于从广州市区、增城到项目的主干道上，位置抢眼</w:t>
            </w:r>
            <w:r>
              <w:rPr>
                <w:rFonts w:hint="eastAsia" w:ascii="仿宋" w:hAnsi="仿宋" w:eastAsia="仿宋" w:cs="仿宋"/>
                <w:bCs/>
                <w:kern w:val="0"/>
                <w:sz w:val="24"/>
                <w:szCs w:val="24"/>
                <w:lang w:bidi="ar"/>
              </w:rPr>
              <w:t>，</w:t>
            </w:r>
            <w:r>
              <w:rPr>
                <w:rFonts w:hint="eastAsia" w:ascii="仿宋" w:hAnsi="仿宋" w:eastAsia="仿宋" w:cs="仿宋"/>
                <w:bCs/>
                <w:kern w:val="0"/>
                <w:sz w:val="24"/>
                <w:szCs w:val="24"/>
                <w:lang w:val="en-US" w:eastAsia="zh-CN" w:bidi="ar"/>
              </w:rPr>
              <w:t>可使得途径客户均注意广告画面，昭示性强，同时具备拦截项目竞品客户，投放方案可执行性强。</w:t>
            </w:r>
          </w:p>
        </w:tc>
      </w:tr>
      <w:tr>
        <w:tblPrEx>
          <w:tblCellMar>
            <w:top w:w="0" w:type="dxa"/>
            <w:left w:w="108" w:type="dxa"/>
            <w:bottom w:w="0" w:type="dxa"/>
            <w:right w:w="108" w:type="dxa"/>
          </w:tblCellMar>
        </w:tblPrEx>
        <w:trPr>
          <w:trHeight w:val="1200" w:hRule="atLeast"/>
          <w:jc w:val="center"/>
        </w:trPr>
        <w:tc>
          <w:tcPr>
            <w:tcW w:w="1066" w:type="dxa"/>
            <w:vMerge w:val="continue"/>
            <w:tcBorders>
              <w:left w:val="single" w:color="auto" w:sz="4" w:space="0"/>
              <w:right w:val="single" w:color="auto" w:sz="4" w:space="0"/>
            </w:tcBorders>
            <w:shd w:val="clear" w:color="000000" w:fill="auto"/>
            <w:vAlign w:val="center"/>
          </w:tcPr>
          <w:p/>
        </w:tc>
        <w:tc>
          <w:tcPr>
            <w:tcW w:w="756" w:type="dxa"/>
            <w:vMerge w:val="continue"/>
            <w:tcBorders>
              <w:left w:val="single" w:color="auto" w:sz="4" w:space="0"/>
              <w:right w:val="single" w:color="auto" w:sz="4" w:space="0"/>
            </w:tcBorders>
            <w:shd w:val="clear" w:color="000000" w:fill="auto"/>
            <w:vAlign w:val="center"/>
          </w:tcPr>
          <w:p/>
        </w:tc>
        <w:tc>
          <w:tcPr>
            <w:tcW w:w="1197" w:type="dxa"/>
            <w:vMerge w:val="continue"/>
            <w:tcBorders>
              <w:left w:val="nil"/>
              <w:right w:val="single" w:color="auto" w:sz="4" w:space="0"/>
            </w:tcBorders>
            <w:shd w:val="clear" w:color="000000" w:fill="auto"/>
            <w:vAlign w:val="center"/>
          </w:tcPr>
          <w:p>
            <w:pPr>
              <w:jc w:val="center"/>
              <w:rPr>
                <w:rFonts w:hint="eastAsia" w:ascii="仿宋" w:hAnsi="仿宋" w:eastAsia="仿宋" w:cs="宋体"/>
                <w:lang w:val="en-US" w:eastAsia="zh-CN"/>
              </w:rPr>
            </w:pPr>
          </w:p>
        </w:tc>
        <w:tc>
          <w:tcPr>
            <w:tcW w:w="1095"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lang w:val="en-US" w:eastAsia="zh-CN"/>
              </w:rPr>
              <w:t>11-20</w:t>
            </w:r>
            <w:r>
              <w:rPr>
                <w:rFonts w:ascii="仿宋" w:hAnsi="仿宋" w:eastAsia="仿宋" w:cs="宋体"/>
              </w:rPr>
              <w:t>分</w:t>
            </w:r>
          </w:p>
        </w:tc>
        <w:tc>
          <w:tcPr>
            <w:tcW w:w="4966" w:type="dxa"/>
            <w:tcBorders>
              <w:top w:val="nil"/>
              <w:left w:val="nil"/>
              <w:bottom w:val="single" w:color="auto" w:sz="4" w:space="0"/>
              <w:right w:val="single" w:color="auto" w:sz="4" w:space="0"/>
            </w:tcBorders>
            <w:shd w:val="clear" w:color="000000" w:fill="auto"/>
            <w:vAlign w:val="center"/>
          </w:tcPr>
          <w:p>
            <w:pPr>
              <w:pStyle w:val="20"/>
              <w:numPr>
                <w:ilvl w:val="0"/>
                <w:numId w:val="0"/>
              </w:numPr>
              <w:ind w:leftChars="0"/>
              <w:jc w:val="left"/>
              <w:rPr>
                <w:rFonts w:ascii="仿宋" w:hAnsi="仿宋" w:eastAsia="仿宋" w:cs="宋体"/>
              </w:rPr>
            </w:pPr>
            <w:r>
              <w:rPr>
                <w:rFonts w:hint="eastAsia" w:ascii="仿宋" w:hAnsi="仿宋" w:eastAsia="仿宋" w:cs="仿宋"/>
                <w:bCs/>
                <w:kern w:val="0"/>
                <w:sz w:val="24"/>
                <w:szCs w:val="24"/>
                <w:lang w:val="en-US" w:eastAsia="zh-CN" w:bidi="ar"/>
              </w:rPr>
              <w:t>位于从广州市区、增城到项目的主干道上，位置较好</w:t>
            </w:r>
            <w:r>
              <w:rPr>
                <w:rFonts w:hint="eastAsia" w:ascii="仿宋" w:hAnsi="仿宋" w:eastAsia="仿宋" w:cs="仿宋"/>
                <w:bCs/>
                <w:kern w:val="0"/>
                <w:sz w:val="24"/>
                <w:szCs w:val="24"/>
                <w:lang w:bidi="ar"/>
              </w:rPr>
              <w:t>，</w:t>
            </w:r>
            <w:r>
              <w:rPr>
                <w:rFonts w:hint="eastAsia" w:ascii="仿宋" w:hAnsi="仿宋" w:eastAsia="仿宋" w:cs="仿宋"/>
                <w:bCs/>
                <w:kern w:val="0"/>
                <w:sz w:val="24"/>
                <w:szCs w:val="24"/>
                <w:lang w:val="en-US" w:eastAsia="zh-CN" w:bidi="ar"/>
              </w:rPr>
              <w:t>可使得途径客户均注意广告画面，昭示性较好，投放方案</w:t>
            </w:r>
            <w:r>
              <w:rPr>
                <w:rFonts w:hint="eastAsia" w:ascii="仿宋" w:hAnsi="仿宋" w:eastAsia="仿宋" w:cs="仿宋"/>
                <w:bCs/>
                <w:kern w:val="0"/>
                <w:sz w:val="24"/>
                <w:szCs w:val="24"/>
                <w:lang w:bidi="ar"/>
              </w:rPr>
              <w:t>具备可执行性</w:t>
            </w:r>
          </w:p>
        </w:tc>
      </w:tr>
      <w:tr>
        <w:tblPrEx>
          <w:tblCellMar>
            <w:top w:w="0" w:type="dxa"/>
            <w:left w:w="108" w:type="dxa"/>
            <w:bottom w:w="0" w:type="dxa"/>
            <w:right w:w="108" w:type="dxa"/>
          </w:tblCellMar>
        </w:tblPrEx>
        <w:trPr>
          <w:trHeight w:val="1200" w:hRule="atLeast"/>
          <w:jc w:val="center"/>
        </w:trPr>
        <w:tc>
          <w:tcPr>
            <w:tcW w:w="1066" w:type="dxa"/>
            <w:vMerge w:val="continue"/>
            <w:tcBorders>
              <w:left w:val="single" w:color="auto" w:sz="4" w:space="0"/>
              <w:bottom w:val="single" w:color="auto" w:sz="4" w:space="0"/>
              <w:right w:val="single" w:color="auto" w:sz="4" w:space="0"/>
            </w:tcBorders>
            <w:shd w:val="clear" w:color="000000" w:fill="auto"/>
            <w:vAlign w:val="center"/>
          </w:tcPr>
          <w:p/>
        </w:tc>
        <w:tc>
          <w:tcPr>
            <w:tcW w:w="756" w:type="dxa"/>
            <w:vMerge w:val="continue"/>
            <w:tcBorders>
              <w:left w:val="single" w:color="auto" w:sz="4" w:space="0"/>
              <w:bottom w:val="single" w:color="auto" w:sz="4" w:space="0"/>
              <w:right w:val="single" w:color="auto" w:sz="4" w:space="0"/>
            </w:tcBorders>
            <w:shd w:val="clear" w:color="000000" w:fill="auto"/>
            <w:vAlign w:val="center"/>
          </w:tcPr>
          <w:p/>
        </w:tc>
        <w:tc>
          <w:tcPr>
            <w:tcW w:w="1197" w:type="dxa"/>
            <w:vMerge w:val="continue"/>
            <w:tcBorders>
              <w:left w:val="nil"/>
              <w:bottom w:val="single" w:color="auto" w:sz="4" w:space="0"/>
              <w:right w:val="single" w:color="auto" w:sz="4" w:space="0"/>
            </w:tcBorders>
            <w:shd w:val="clear" w:color="000000" w:fill="auto"/>
            <w:vAlign w:val="center"/>
          </w:tcPr>
          <w:p>
            <w:pPr>
              <w:jc w:val="center"/>
              <w:rPr>
                <w:rFonts w:hint="eastAsia" w:ascii="仿宋" w:hAnsi="仿宋" w:eastAsia="仿宋" w:cs="宋体"/>
                <w:lang w:val="en-US" w:eastAsia="zh-CN"/>
              </w:rPr>
            </w:pPr>
          </w:p>
        </w:tc>
        <w:tc>
          <w:tcPr>
            <w:tcW w:w="1095" w:type="dxa"/>
            <w:tcBorders>
              <w:top w:val="nil"/>
              <w:left w:val="nil"/>
              <w:bottom w:val="single" w:color="auto" w:sz="4" w:space="0"/>
              <w:right w:val="single" w:color="auto" w:sz="4" w:space="0"/>
            </w:tcBorders>
            <w:shd w:val="clear" w:color="000000" w:fill="auto"/>
            <w:vAlign w:val="center"/>
          </w:tcPr>
          <w:p>
            <w:pPr>
              <w:jc w:val="center"/>
              <w:rPr>
                <w:rFonts w:hint="default" w:ascii="仿宋" w:hAnsi="仿宋" w:eastAsia="仿宋" w:cs="宋体"/>
                <w:lang w:val="en-US" w:eastAsia="zh-CN"/>
              </w:rPr>
            </w:pPr>
            <w:r>
              <w:rPr>
                <w:rFonts w:hint="eastAsia" w:ascii="仿宋" w:hAnsi="仿宋" w:eastAsia="仿宋" w:cs="宋体"/>
                <w:lang w:val="en-US" w:eastAsia="zh-CN"/>
              </w:rPr>
              <w:t>0-10分</w:t>
            </w:r>
          </w:p>
        </w:tc>
        <w:tc>
          <w:tcPr>
            <w:tcW w:w="4966" w:type="dxa"/>
            <w:tcBorders>
              <w:top w:val="nil"/>
              <w:left w:val="nil"/>
              <w:bottom w:val="single" w:color="auto" w:sz="4" w:space="0"/>
              <w:right w:val="single" w:color="auto" w:sz="4" w:space="0"/>
            </w:tcBorders>
            <w:shd w:val="clear" w:color="000000" w:fill="auto"/>
            <w:vAlign w:val="center"/>
          </w:tcPr>
          <w:p>
            <w:pPr>
              <w:pStyle w:val="20"/>
              <w:numPr>
                <w:ilvl w:val="0"/>
                <w:numId w:val="0"/>
              </w:numPr>
              <w:ind w:leftChars="0"/>
              <w:jc w:val="left"/>
              <w:rPr>
                <w:rFonts w:hint="eastAsia" w:ascii="仿宋" w:hAnsi="仿宋" w:eastAsia="仿宋" w:cs="宋体"/>
                <w:lang w:val="en-US" w:eastAsia="zh-CN"/>
              </w:rPr>
            </w:pPr>
            <w:r>
              <w:rPr>
                <w:rFonts w:hint="eastAsia" w:ascii="仿宋" w:hAnsi="仿宋" w:eastAsia="仿宋" w:cs="仿宋"/>
                <w:bCs/>
                <w:kern w:val="0"/>
                <w:sz w:val="24"/>
                <w:szCs w:val="24"/>
                <w:lang w:val="en-US" w:eastAsia="zh-CN" w:bidi="ar"/>
              </w:rPr>
              <w:t>位于项目周边的主干道上，投放方案可执行性一般</w:t>
            </w:r>
          </w:p>
        </w:tc>
      </w:tr>
      <w:tr>
        <w:tblPrEx>
          <w:tblCellMar>
            <w:top w:w="0" w:type="dxa"/>
            <w:left w:w="108" w:type="dxa"/>
            <w:bottom w:w="0" w:type="dxa"/>
            <w:right w:w="108" w:type="dxa"/>
          </w:tblCellMar>
        </w:tblPrEx>
        <w:trPr>
          <w:trHeight w:val="630" w:hRule="atLeast"/>
          <w:jc w:val="center"/>
        </w:trPr>
        <w:tc>
          <w:tcPr>
            <w:tcW w:w="1066" w:type="dxa"/>
            <w:tcBorders>
              <w:top w:val="nil"/>
              <w:left w:val="single" w:color="auto" w:sz="4" w:space="0"/>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其他承诺</w:t>
            </w:r>
            <w:r>
              <w:rPr>
                <w:rFonts w:hint="eastAsia" w:ascii="仿宋" w:hAnsi="仿宋" w:eastAsia="仿宋" w:cs="宋体"/>
                <w:lang w:val="en-US" w:eastAsia="zh-CN"/>
              </w:rPr>
              <w:t>及</w:t>
            </w:r>
            <w:r>
              <w:rPr>
                <w:rFonts w:hint="eastAsia" w:ascii="仿宋" w:hAnsi="仿宋" w:eastAsia="仿宋" w:cs="宋体"/>
              </w:rPr>
              <w:t>增值服务评分</w:t>
            </w:r>
          </w:p>
        </w:tc>
        <w:tc>
          <w:tcPr>
            <w:tcW w:w="756" w:type="dxa"/>
            <w:tcBorders>
              <w:top w:val="nil"/>
              <w:left w:val="nil"/>
              <w:bottom w:val="single" w:color="auto" w:sz="4" w:space="0"/>
              <w:right w:val="single" w:color="auto" w:sz="4" w:space="0"/>
            </w:tcBorders>
            <w:shd w:val="clear" w:color="000000" w:fill="auto"/>
            <w:vAlign w:val="center"/>
          </w:tcPr>
          <w:p>
            <w:pPr>
              <w:jc w:val="center"/>
              <w:rPr>
                <w:rFonts w:hint="default" w:ascii="仿宋" w:hAnsi="仿宋" w:eastAsia="仿宋" w:cs="宋体"/>
                <w:lang w:val="en-US" w:eastAsia="zh-CN"/>
              </w:rPr>
            </w:pPr>
            <w:r>
              <w:rPr>
                <w:rFonts w:hint="eastAsia" w:ascii="仿宋" w:hAnsi="仿宋" w:eastAsia="仿宋" w:cs="宋体"/>
                <w:lang w:val="en-US" w:eastAsia="zh-CN"/>
              </w:rPr>
              <w:t>15</w:t>
            </w:r>
          </w:p>
        </w:tc>
        <w:tc>
          <w:tcPr>
            <w:tcW w:w="1197" w:type="dxa"/>
            <w:tcBorders>
              <w:top w:val="nil"/>
              <w:left w:val="nil"/>
              <w:bottom w:val="single" w:color="auto" w:sz="4" w:space="0"/>
              <w:right w:val="single" w:color="auto" w:sz="4" w:space="0"/>
            </w:tcBorders>
            <w:shd w:val="clear" w:color="000000" w:fill="auto"/>
            <w:vAlign w:val="center"/>
          </w:tcPr>
          <w:p>
            <w:pPr>
              <w:jc w:val="center"/>
              <w:rPr>
                <w:rFonts w:hint="default" w:ascii="仿宋" w:hAnsi="仿宋" w:eastAsia="仿宋" w:cs="宋体"/>
                <w:lang w:val="en-US" w:eastAsia="zh-CN"/>
              </w:rPr>
            </w:pPr>
            <w:r>
              <w:rPr>
                <w:rFonts w:hint="eastAsia" w:ascii="仿宋" w:hAnsi="仿宋" w:eastAsia="仿宋" w:cs="宋体"/>
                <w:lang w:val="en-US" w:eastAsia="zh-CN"/>
              </w:rPr>
              <w:t>服务承诺及增值服务</w:t>
            </w:r>
          </w:p>
        </w:tc>
        <w:tc>
          <w:tcPr>
            <w:tcW w:w="1095"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lang w:val="en-US" w:eastAsia="zh-CN"/>
              </w:rPr>
              <w:t>15</w:t>
            </w:r>
            <w:r>
              <w:rPr>
                <w:rFonts w:hint="eastAsia" w:ascii="仿宋" w:hAnsi="仿宋" w:eastAsia="仿宋" w:cs="宋体"/>
              </w:rPr>
              <w:t>分</w:t>
            </w:r>
          </w:p>
        </w:tc>
        <w:tc>
          <w:tcPr>
            <w:tcW w:w="4966" w:type="dxa"/>
            <w:tcBorders>
              <w:top w:val="nil"/>
              <w:left w:val="nil"/>
              <w:bottom w:val="single" w:color="auto" w:sz="4" w:space="0"/>
              <w:right w:val="single" w:color="auto" w:sz="4" w:space="0"/>
            </w:tcBorders>
            <w:shd w:val="clear" w:color="000000" w:fill="auto"/>
            <w:vAlign w:val="center"/>
          </w:tcPr>
          <w:p>
            <w:pPr>
              <w:pStyle w:val="20"/>
              <w:numPr>
                <w:ilvl w:val="0"/>
                <w:numId w:val="2"/>
              </w:numPr>
              <w:jc w:val="left"/>
              <w:rPr>
                <w:rFonts w:hint="eastAsia" w:ascii="仿宋" w:hAnsi="仿宋" w:eastAsia="仿宋" w:cs="宋体"/>
                <w:lang w:val="en-US" w:eastAsia="zh-CN"/>
              </w:rPr>
            </w:pPr>
            <w:r>
              <w:rPr>
                <w:rFonts w:hint="eastAsia" w:ascii="仿宋" w:hAnsi="仿宋" w:eastAsia="仿宋" w:cs="宋体"/>
                <w:lang w:val="en-US" w:eastAsia="zh-CN"/>
              </w:rPr>
              <w:t>根据甲方要求调整蓝白牌上画地点   5分</w:t>
            </w:r>
          </w:p>
          <w:p>
            <w:pPr>
              <w:pStyle w:val="20"/>
              <w:numPr>
                <w:ilvl w:val="0"/>
                <w:numId w:val="2"/>
              </w:numPr>
              <w:jc w:val="left"/>
              <w:rPr>
                <w:rFonts w:hint="eastAsia" w:ascii="仿宋" w:hAnsi="仿宋" w:eastAsia="仿宋" w:cs="宋体"/>
                <w:lang w:val="en-US" w:eastAsia="zh-CN"/>
              </w:rPr>
            </w:pPr>
            <w:r>
              <w:rPr>
                <w:rFonts w:hint="eastAsia" w:ascii="仿宋" w:hAnsi="仿宋" w:eastAsia="仿宋" w:cs="宋体"/>
                <w:lang w:val="en-US" w:eastAsia="zh-CN"/>
              </w:rPr>
              <w:t>定期巡查确保上画无损坏或被遮挡   5分</w:t>
            </w:r>
          </w:p>
          <w:p>
            <w:pPr>
              <w:pStyle w:val="20"/>
              <w:numPr>
                <w:ilvl w:val="0"/>
                <w:numId w:val="2"/>
              </w:numPr>
              <w:jc w:val="left"/>
              <w:rPr>
                <w:rFonts w:hint="eastAsia" w:ascii="仿宋" w:hAnsi="仿宋" w:eastAsia="仿宋" w:cs="宋体"/>
                <w:lang w:val="en-US" w:eastAsia="zh-CN"/>
              </w:rPr>
            </w:pPr>
            <w:r>
              <w:rPr>
                <w:rFonts w:hint="eastAsia" w:ascii="仿宋" w:hAnsi="仿宋" w:eastAsia="仿宋" w:cs="宋体"/>
                <w:lang w:val="en-US" w:eastAsia="zh-CN"/>
              </w:rPr>
              <w:t>其他增值服务                     5分</w:t>
            </w:r>
          </w:p>
        </w:tc>
      </w:tr>
      <w:tr>
        <w:tblPrEx>
          <w:tblCellMar>
            <w:top w:w="0" w:type="dxa"/>
            <w:left w:w="108" w:type="dxa"/>
            <w:bottom w:w="0" w:type="dxa"/>
            <w:right w:w="108" w:type="dxa"/>
          </w:tblCellMar>
        </w:tblPrEx>
        <w:trPr>
          <w:trHeight w:val="615" w:hRule="atLeast"/>
          <w:jc w:val="center"/>
        </w:trPr>
        <w:tc>
          <w:tcPr>
            <w:tcW w:w="3019"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合计</w:t>
            </w:r>
          </w:p>
        </w:tc>
        <w:tc>
          <w:tcPr>
            <w:tcW w:w="1095" w:type="dxa"/>
            <w:tcBorders>
              <w:top w:val="nil"/>
              <w:left w:val="nil"/>
              <w:bottom w:val="single" w:color="auto" w:sz="4" w:space="0"/>
              <w:right w:val="single" w:color="auto" w:sz="4" w:space="0"/>
            </w:tcBorders>
            <w:shd w:val="clear" w:color="000000" w:fill="auto"/>
            <w:vAlign w:val="center"/>
          </w:tcPr>
          <w:p>
            <w:pPr>
              <w:jc w:val="center"/>
              <w:rPr>
                <w:rFonts w:ascii="仿宋" w:hAnsi="仿宋" w:eastAsia="仿宋" w:cs="宋体"/>
              </w:rPr>
            </w:pPr>
            <w:r>
              <w:rPr>
                <w:rFonts w:hint="eastAsia" w:ascii="仿宋" w:hAnsi="仿宋" w:eastAsia="仿宋" w:cs="宋体"/>
              </w:rPr>
              <w:t>100分</w:t>
            </w:r>
          </w:p>
        </w:tc>
        <w:tc>
          <w:tcPr>
            <w:tcW w:w="4966" w:type="dxa"/>
            <w:tcBorders>
              <w:top w:val="nil"/>
              <w:left w:val="nil"/>
              <w:bottom w:val="single" w:color="auto" w:sz="4" w:space="0"/>
              <w:right w:val="single" w:color="auto" w:sz="4" w:space="0"/>
            </w:tcBorders>
            <w:shd w:val="clear" w:color="000000" w:fill="auto"/>
            <w:vAlign w:val="center"/>
          </w:tcPr>
          <w:p>
            <w:pPr>
              <w:jc w:val="left"/>
              <w:rPr>
                <w:rFonts w:ascii="仿宋" w:hAnsi="仿宋" w:eastAsia="仿宋" w:cs="宋体"/>
              </w:rPr>
            </w:pPr>
            <w:r>
              <w:rPr>
                <w:rFonts w:hint="eastAsia" w:ascii="仿宋" w:hAnsi="仿宋" w:eastAsia="仿宋" w:cs="宋体"/>
              </w:rPr>
              <w:t>　</w:t>
            </w:r>
          </w:p>
        </w:tc>
      </w:tr>
    </w:tbl>
    <w:p>
      <w:pPr>
        <w:jc w:val="center"/>
        <w:rPr>
          <w:rFonts w:ascii="仿宋" w:hAnsi="仿宋" w:eastAsia="仿宋"/>
          <w:b/>
          <w:sz w:val="32"/>
          <w:szCs w:val="32"/>
        </w:rPr>
      </w:pPr>
      <w: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both"/>
        <w:rPr>
          <w:b/>
          <w:sz w:val="44"/>
          <w:szCs w:val="44"/>
        </w:rPr>
      </w:pPr>
    </w:p>
    <w:p>
      <w:pPr>
        <w:spacing w:line="360" w:lineRule="auto"/>
        <w:jc w:val="center"/>
        <w:rPr>
          <w:b/>
          <w:sz w:val="44"/>
          <w:szCs w:val="44"/>
        </w:rPr>
      </w:pPr>
    </w:p>
    <w:p>
      <w:pPr>
        <w:snapToGrid w:val="0"/>
        <w:spacing w:line="360" w:lineRule="auto"/>
        <w:jc w:val="center"/>
        <w:rPr>
          <w:b/>
          <w:sz w:val="52"/>
          <w:szCs w:val="52"/>
        </w:rPr>
      </w:pPr>
      <w:r>
        <w:rPr>
          <w:rFonts w:hint="eastAsia"/>
          <w:b/>
          <w:sz w:val="52"/>
          <w:szCs w:val="52"/>
          <w:u w:val="single"/>
          <w:lang w:val="en-US" w:eastAsia="zh-CN"/>
        </w:rPr>
        <w:t>广州城投·禧悦府</w:t>
      </w:r>
      <w:r>
        <w:rPr>
          <w:rFonts w:hint="eastAsia"/>
          <w:b/>
          <w:sz w:val="52"/>
          <w:szCs w:val="52"/>
          <w:u w:val="single"/>
        </w:rPr>
        <w:t xml:space="preserve"> </w:t>
      </w:r>
      <w:r>
        <w:rPr>
          <w:rFonts w:hint="eastAsia"/>
          <w:b/>
          <w:sz w:val="52"/>
          <w:szCs w:val="52"/>
        </w:rPr>
        <w:t>项目</w:t>
      </w:r>
    </w:p>
    <w:p>
      <w:pPr>
        <w:spacing w:line="360" w:lineRule="auto"/>
        <w:jc w:val="center"/>
      </w:pPr>
      <w:r>
        <w:rPr>
          <w:rFonts w:hint="eastAsia"/>
          <w:b/>
          <w:sz w:val="52"/>
          <w:szCs w:val="52"/>
        </w:rPr>
        <w:t>道路指示蓝白牌&amp;包柱户外广告投放合同</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ind w:firstLine="400"/>
        <w:rPr>
          <w:rFonts w:ascii="楷体_GB2312" w:eastAsia="黑体"/>
          <w:sz w:val="28"/>
          <w:szCs w:val="28"/>
        </w:rPr>
      </w:pPr>
      <w:r>
        <w:rPr>
          <w:rFonts w:hint="eastAsia" w:ascii="楷体_GB2312"/>
          <w:sz w:val="28"/>
          <w:szCs w:val="28"/>
        </w:rPr>
        <w:t>甲方：</w:t>
      </w:r>
      <w:r>
        <w:rPr>
          <w:rFonts w:hint="eastAsia"/>
          <w:color w:val="0D0D0D"/>
          <w:sz w:val="28"/>
          <w:szCs w:val="28"/>
        </w:rPr>
        <w:t xml:space="preserve"> </w:t>
      </w:r>
    </w:p>
    <w:p>
      <w:pPr>
        <w:spacing w:line="360" w:lineRule="auto"/>
        <w:ind w:firstLine="400"/>
        <w:rPr>
          <w:rFonts w:ascii="楷体_GB2312" w:eastAsia="黑体"/>
          <w:sz w:val="28"/>
          <w:szCs w:val="28"/>
        </w:rPr>
      </w:pPr>
      <w:r>
        <w:rPr>
          <w:rFonts w:hint="eastAsia" w:ascii="楷体_GB2312"/>
          <w:sz w:val="28"/>
          <w:szCs w:val="28"/>
        </w:rPr>
        <w:t>乙方：</w:t>
      </w:r>
    </w:p>
    <w:p>
      <w:pPr>
        <w:spacing w:line="360" w:lineRule="auto"/>
        <w:ind w:firstLine="400"/>
        <w:rPr>
          <w:rFonts w:ascii="楷体_GB2312"/>
          <w:sz w:val="28"/>
          <w:szCs w:val="28"/>
        </w:rPr>
      </w:pPr>
      <w:r>
        <w:rPr>
          <w:rFonts w:hint="eastAsia" w:ascii="楷体_GB2312"/>
          <w:sz w:val="28"/>
          <w:szCs w:val="28"/>
        </w:rPr>
        <w:t xml:space="preserve">合同编号： </w:t>
      </w:r>
    </w:p>
    <w:p>
      <w:pPr>
        <w:spacing w:line="360" w:lineRule="auto"/>
        <w:ind w:firstLine="400"/>
        <w:rPr>
          <w:rFonts w:ascii="楷体_GB2312" w:eastAsia="黑体"/>
          <w:sz w:val="28"/>
          <w:szCs w:val="28"/>
        </w:rPr>
      </w:pPr>
    </w:p>
    <w:p>
      <w:pPr>
        <w:spacing w:line="360" w:lineRule="auto"/>
        <w:ind w:firstLine="400"/>
        <w:rPr>
          <w:rFonts w:ascii="宋体"/>
          <w:sz w:val="28"/>
          <w:szCs w:val="28"/>
        </w:rPr>
      </w:pPr>
      <w:r>
        <w:rPr>
          <w:rFonts w:hint="eastAsia" w:ascii="宋体"/>
          <w:sz w:val="28"/>
          <w:szCs w:val="28"/>
        </w:rPr>
        <w:t>签订日期：</w:t>
      </w:r>
    </w:p>
    <w:p>
      <w:pPr>
        <w:tabs>
          <w:tab w:val="left" w:pos="1980"/>
        </w:tabs>
        <w:wordWrap w:val="0"/>
        <w:spacing w:line="360" w:lineRule="auto"/>
        <w:ind w:right="560" w:firstLine="700"/>
        <w:jc w:val="right"/>
        <w:rPr>
          <w:rFonts w:ascii="黑体" w:hAnsi="宋体" w:eastAsia="黑体"/>
          <w:b/>
          <w:sz w:val="28"/>
          <w:szCs w:val="28"/>
          <w:u w:val="single"/>
        </w:rPr>
      </w:pPr>
      <w:r>
        <w:br w:type="page"/>
      </w:r>
    </w:p>
    <w:p>
      <w:pPr>
        <w:tabs>
          <w:tab w:val="left" w:pos="7371"/>
        </w:tabs>
        <w:spacing w:before="100" w:beforeAutospacing="1" w:after="100" w:afterAutospacing="1"/>
        <w:jc w:val="center"/>
        <w:rPr>
          <w:rFonts w:hint="eastAsia" w:ascii="黑体" w:hAnsi="宋体" w:eastAsia="黑体" w:cs="宋体"/>
          <w:b/>
          <w:sz w:val="44"/>
          <w:szCs w:val="44"/>
          <w:lang w:val="en-US" w:eastAsia="zh-CN"/>
        </w:rPr>
      </w:pPr>
      <w:r>
        <w:rPr>
          <w:rFonts w:hint="eastAsia" w:ascii="黑体" w:hAnsi="宋体" w:eastAsia="黑体" w:cs="宋体"/>
          <w:b/>
          <w:sz w:val="44"/>
          <w:szCs w:val="44"/>
          <w:lang w:val="en-US" w:eastAsia="zh-CN"/>
        </w:rPr>
        <w:t>广州城投·禧悦府项目</w:t>
      </w:r>
    </w:p>
    <w:p>
      <w:pPr>
        <w:tabs>
          <w:tab w:val="left" w:pos="7371"/>
        </w:tabs>
        <w:spacing w:before="100" w:beforeAutospacing="1" w:after="100" w:afterAutospacing="1"/>
        <w:jc w:val="center"/>
        <w:rPr>
          <w:rFonts w:hint="default" w:ascii="黑体" w:hAnsi="宋体" w:eastAsia="黑体" w:cs="宋体"/>
          <w:lang w:val="en-US" w:eastAsia="zh-CN"/>
        </w:rPr>
      </w:pPr>
      <w:r>
        <w:rPr>
          <w:rFonts w:hint="eastAsia" w:ascii="黑体" w:hAnsi="宋体" w:eastAsia="黑体" w:cs="宋体"/>
          <w:b/>
          <w:sz w:val="44"/>
          <w:szCs w:val="44"/>
          <w:lang w:val="en-US" w:eastAsia="zh-CN"/>
        </w:rPr>
        <w:t>道路指示蓝白牌&amp;包柱户外广告投放</w:t>
      </w:r>
      <w:r>
        <w:rPr>
          <w:rFonts w:hint="eastAsia" w:ascii="黑体" w:hAnsi="宋体" w:eastAsia="黑体" w:cs="宋体"/>
          <w:b/>
          <w:sz w:val="44"/>
          <w:szCs w:val="44"/>
        </w:rPr>
        <w:t>合同</w:t>
      </w:r>
      <w:r>
        <w:rPr>
          <w:rFonts w:hint="eastAsia" w:ascii="黑体" w:hAnsi="宋体" w:eastAsia="黑体" w:cs="宋体"/>
          <w:lang w:val="en-US" w:eastAsia="zh-CN"/>
        </w:rPr>
        <w:t xml:space="preserve">   </w:t>
      </w:r>
    </w:p>
    <w:p>
      <w:pPr>
        <w:tabs>
          <w:tab w:val="left" w:pos="7371"/>
        </w:tabs>
        <w:snapToGrid w:val="0"/>
        <w:spacing w:line="500" w:lineRule="exact"/>
        <w:jc w:val="left"/>
        <w:rPr>
          <w:rFonts w:hint="eastAsia" w:ascii="宋体" w:hAnsi="宋体" w:eastAsia="宋体" w:cs="宋体"/>
          <w:sz w:val="24"/>
          <w:szCs w:val="24"/>
        </w:rPr>
      </w:pPr>
      <w:r>
        <w:rPr>
          <w:rFonts w:hint="eastAsia" w:ascii="宋体" w:hAnsi="宋体" w:eastAsia="宋体" w:cs="宋体"/>
          <w:sz w:val="24"/>
          <w:szCs w:val="24"/>
        </w:rPr>
        <w:t>甲方：</w:t>
      </w:r>
      <w:r>
        <w:rPr>
          <w:rStyle w:val="18"/>
          <w:rFonts w:hint="eastAsia" w:ascii="宋体" w:hAnsi="宋体" w:eastAsia="宋体" w:cs="宋体"/>
          <w:b w:val="0"/>
          <w:color w:val="3E3E3E"/>
          <w:sz w:val="28"/>
          <w:szCs w:val="28"/>
          <w:highlight w:val="none"/>
        </w:rPr>
        <w:t>广州市城壹房地产</w:t>
      </w:r>
      <w:r>
        <w:rPr>
          <w:rStyle w:val="18"/>
          <w:rFonts w:hint="eastAsia" w:ascii="宋体" w:hAnsi="宋体" w:eastAsia="宋体" w:cs="宋体"/>
          <w:b w:val="0"/>
          <w:color w:val="3E3E3E"/>
          <w:sz w:val="28"/>
          <w:szCs w:val="28"/>
          <w:highlight w:val="none"/>
          <w:lang w:val="en-US" w:eastAsia="zh-CN"/>
        </w:rPr>
        <w:t>顾问</w:t>
      </w:r>
      <w:r>
        <w:rPr>
          <w:rStyle w:val="18"/>
          <w:rFonts w:hint="eastAsia" w:ascii="宋体" w:hAnsi="宋体" w:eastAsia="宋体" w:cs="宋体"/>
          <w:b w:val="0"/>
          <w:color w:val="3E3E3E"/>
          <w:sz w:val="28"/>
          <w:szCs w:val="28"/>
          <w:highlight w:val="none"/>
        </w:rPr>
        <w:t>有限公司</w:t>
      </w:r>
    </w:p>
    <w:p>
      <w:pPr>
        <w:snapToGrid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乙方： </w:t>
      </w:r>
    </w:p>
    <w:p>
      <w:pPr>
        <w:snapToGrid w:val="0"/>
        <w:spacing w:line="500" w:lineRule="exact"/>
        <w:ind w:firstLine="200"/>
        <w:rPr>
          <w:rFonts w:hint="eastAsia" w:ascii="宋体" w:hAnsi="宋体" w:eastAsia="宋体" w:cs="宋体"/>
          <w:sz w:val="24"/>
          <w:szCs w:val="24"/>
        </w:rPr>
      </w:pP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》、《中华人民共和国广告法》及有关法律法规规章的规定，甲、乙双方在自愿、平等、协商一致的基础上，签订本合同。</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b/>
          <w:sz w:val="24"/>
          <w:szCs w:val="24"/>
        </w:rPr>
        <w:t>一、广告发布情况</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（一）地点、位置描述</w:t>
      </w:r>
    </w:p>
    <w:p>
      <w:pPr>
        <w:spacing w:line="360" w:lineRule="auto"/>
        <w:ind w:left="200" w:firstLine="0"/>
        <w:rPr>
          <w:rFonts w:hint="eastAsia" w:ascii="宋体" w:hAnsi="宋体" w:eastAsia="宋体" w:cs="宋体"/>
          <w:sz w:val="24"/>
          <w:szCs w:val="24"/>
          <w:u w:val="single"/>
        </w:rPr>
      </w:pPr>
      <w:r>
        <w:rPr>
          <w:rFonts w:hint="eastAsia" w:ascii="宋体" w:hAnsi="宋体" w:eastAsia="宋体" w:cs="宋体"/>
          <w:sz w:val="24"/>
          <w:szCs w:val="24"/>
        </w:rPr>
        <w:t>甲方委托乙方于在</w:t>
      </w:r>
      <w:r>
        <w:rPr>
          <w:rFonts w:hint="eastAsia" w:ascii="宋体" w:hAnsi="宋体" w:eastAsia="宋体" w:cs="宋体"/>
          <w:sz w:val="24"/>
          <w:szCs w:val="24"/>
          <w:u w:val="none"/>
        </w:rPr>
        <w:t>广东</w:t>
      </w:r>
      <w:r>
        <w:rPr>
          <w:rFonts w:hint="eastAsia" w:ascii="宋体" w:hAnsi="宋体" w:eastAsia="宋体" w:cs="宋体"/>
          <w:sz w:val="24"/>
          <w:szCs w:val="24"/>
        </w:rPr>
        <w:t>省</w:t>
      </w:r>
      <w:r>
        <w:rPr>
          <w:rFonts w:hint="eastAsia" w:ascii="宋体" w:hAnsi="宋体" w:eastAsia="宋体" w:cs="宋体"/>
          <w:sz w:val="24"/>
          <w:szCs w:val="24"/>
          <w:u w:val="none"/>
        </w:rPr>
        <w:t>广州</w:t>
      </w:r>
      <w:r>
        <w:rPr>
          <w:rFonts w:hint="eastAsia" w:ascii="宋体" w:hAnsi="宋体" w:eastAsia="宋体" w:cs="宋体"/>
          <w:sz w:val="24"/>
          <w:szCs w:val="24"/>
        </w:rPr>
        <w:t>市</w:t>
      </w:r>
      <w:r>
        <w:rPr>
          <w:rFonts w:hint="eastAsia" w:ascii="宋体" w:hAnsi="宋体" w:eastAsia="宋体" w:cs="宋体"/>
          <w:color w:val="000000"/>
          <w:sz w:val="24"/>
          <w:szCs w:val="24"/>
          <w:u w:val="single"/>
          <w:lang w:eastAsia="zh-CN"/>
        </w:rPr>
        <w:t xml:space="preserve"> 增城区                 </w:t>
      </w:r>
      <w:r>
        <w:rPr>
          <w:rFonts w:hint="eastAsia" w:ascii="宋体" w:hAnsi="宋体" w:cs="宋体"/>
          <w:color w:val="000000"/>
          <w:sz w:val="24"/>
          <w:szCs w:val="24"/>
          <w:lang w:val="en-US" w:eastAsia="zh-CN"/>
        </w:rPr>
        <w:t xml:space="preserve"> </w:t>
      </w:r>
      <w:r>
        <w:rPr>
          <w:rFonts w:hint="eastAsia" w:ascii="宋体" w:hAnsi="宋体" w:eastAsia="宋体" w:cs="宋体"/>
          <w:sz w:val="24"/>
          <w:szCs w:val="24"/>
          <w:u w:val="none"/>
          <w:lang w:eastAsia="zh-CN"/>
        </w:rPr>
        <w:t>发布</w:t>
      </w:r>
      <w:r>
        <w:rPr>
          <w:rFonts w:hint="eastAsia" w:ascii="宋体" w:hAnsi="宋体" w:cs="宋体"/>
          <w:sz w:val="24"/>
          <w:szCs w:val="24"/>
          <w:u w:val="none"/>
          <w:lang w:val="en-US" w:eastAsia="zh-CN"/>
        </w:rPr>
        <w:t>蓝白牌</w:t>
      </w:r>
      <w:r>
        <w:rPr>
          <w:rFonts w:hint="eastAsia" w:ascii="宋体" w:hAnsi="宋体" w:cs="宋体"/>
          <w:sz w:val="24"/>
          <w:szCs w:val="24"/>
          <w:u w:val="single"/>
          <w:lang w:val="en-US" w:eastAsia="zh-CN"/>
        </w:rPr>
        <w:t xml:space="preserve">12 </w:t>
      </w:r>
      <w:r>
        <w:rPr>
          <w:rFonts w:hint="eastAsia" w:ascii="宋体" w:hAnsi="宋体" w:eastAsia="宋体" w:cs="宋体"/>
          <w:sz w:val="24"/>
          <w:szCs w:val="24"/>
          <w:u w:val="none"/>
          <w:lang w:val="en-US" w:eastAsia="zh-CN"/>
        </w:rPr>
        <w:t xml:space="preserve">块，及包柱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none"/>
          <w:lang w:val="en-US" w:eastAsia="zh-CN"/>
        </w:rPr>
        <w:t>根户外广告投放</w:t>
      </w:r>
      <w:r>
        <w:rPr>
          <w:rFonts w:hint="eastAsia" w:ascii="宋体" w:hAnsi="宋体" w:eastAsia="宋体" w:cs="宋体"/>
          <w:sz w:val="24"/>
          <w:szCs w:val="24"/>
          <w:u w:val="none"/>
        </w:rPr>
        <w:t>。</w:t>
      </w:r>
    </w:p>
    <w:p>
      <w:pPr>
        <w:spacing w:line="360" w:lineRule="auto"/>
        <w:ind w:firstLine="200"/>
        <w:rPr>
          <w:rFonts w:hint="eastAsia" w:ascii="宋体" w:hAnsi="宋体" w:eastAsia="宋体" w:cs="宋体"/>
          <w:sz w:val="24"/>
          <w:szCs w:val="24"/>
          <w:u w:val="single"/>
        </w:rPr>
      </w:pPr>
      <w:r>
        <w:rPr>
          <w:rFonts w:hint="eastAsia" w:ascii="宋体" w:hAnsi="宋体" w:eastAsia="宋体" w:cs="宋体"/>
          <w:sz w:val="24"/>
          <w:szCs w:val="24"/>
        </w:rPr>
        <w:t>（二）发布形式、内容、数量、时间、尺寸</w:t>
      </w:r>
    </w:p>
    <w:tbl>
      <w:tblPr>
        <w:tblStyle w:val="15"/>
        <w:tblpPr w:leftFromText="180" w:rightFromText="180" w:vertAnchor="text" w:tblpXSpec="center" w:tblpY="1"/>
        <w:tblOverlap w:val="never"/>
        <w:tblW w:w="99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8"/>
        <w:gridCol w:w="2075"/>
        <w:gridCol w:w="1593"/>
        <w:gridCol w:w="1827"/>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798" w:type="dxa"/>
            <w:vAlign w:val="center"/>
          </w:tcPr>
          <w:p>
            <w:pPr>
              <w:snapToGrid w:val="0"/>
              <w:jc w:val="center"/>
              <w:rPr>
                <w:rFonts w:hint="eastAsia" w:ascii="宋体" w:hAnsi="宋体"/>
              </w:rPr>
            </w:pPr>
            <w:r>
              <w:rPr>
                <w:rFonts w:hint="eastAsia" w:ascii="宋体" w:hAnsi="宋体"/>
              </w:rPr>
              <w:t>媒体形式</w:t>
            </w:r>
          </w:p>
        </w:tc>
        <w:tc>
          <w:tcPr>
            <w:tcW w:w="2075" w:type="dxa"/>
            <w:vAlign w:val="center"/>
          </w:tcPr>
          <w:p>
            <w:pPr>
              <w:snapToGrid w:val="0"/>
              <w:jc w:val="center"/>
              <w:rPr>
                <w:rFonts w:hint="eastAsia" w:ascii="宋体" w:hAnsi="宋体"/>
              </w:rPr>
            </w:pPr>
            <w:r>
              <w:rPr>
                <w:rFonts w:hint="eastAsia" w:ascii="宋体" w:hAnsi="宋体"/>
              </w:rPr>
              <w:t>广告发布时间</w:t>
            </w:r>
          </w:p>
        </w:tc>
        <w:tc>
          <w:tcPr>
            <w:tcW w:w="1593" w:type="dxa"/>
            <w:vAlign w:val="center"/>
          </w:tcPr>
          <w:p>
            <w:pPr>
              <w:snapToGrid w:val="0"/>
              <w:jc w:val="center"/>
              <w:rPr>
                <w:rFonts w:hint="eastAsia" w:ascii="宋体" w:hAnsi="宋体" w:eastAsia="宋体"/>
                <w:lang w:eastAsia="zh-CN"/>
              </w:rPr>
            </w:pPr>
            <w:r>
              <w:rPr>
                <w:rFonts w:hint="eastAsia" w:ascii="宋体" w:hAnsi="宋体"/>
              </w:rPr>
              <w:t>数量（块&amp;根）</w:t>
            </w:r>
          </w:p>
        </w:tc>
        <w:tc>
          <w:tcPr>
            <w:tcW w:w="1827" w:type="dxa"/>
            <w:vAlign w:val="center"/>
          </w:tcPr>
          <w:p>
            <w:pPr>
              <w:snapToGrid w:val="0"/>
              <w:jc w:val="center"/>
              <w:rPr>
                <w:rFonts w:hint="eastAsia" w:ascii="宋体" w:hAnsi="宋体"/>
              </w:rPr>
            </w:pPr>
            <w:r>
              <w:rPr>
                <w:rFonts w:hint="eastAsia" w:ascii="宋体" w:hAnsi="宋体"/>
              </w:rPr>
              <w:t>发布周期（月）</w:t>
            </w:r>
          </w:p>
        </w:tc>
        <w:tc>
          <w:tcPr>
            <w:tcW w:w="2649" w:type="dxa"/>
            <w:vAlign w:val="center"/>
          </w:tcPr>
          <w:p>
            <w:pPr>
              <w:snapToGrid w:val="0"/>
              <w:jc w:val="center"/>
              <w:rPr>
                <w:rFonts w:hint="eastAsia" w:ascii="宋体" w:hAnsi="宋体"/>
              </w:rPr>
            </w:pPr>
            <w:r>
              <w:rPr>
                <w:rFonts w:hint="eastAsia" w:ascii="宋体" w:hAnsi="宋体"/>
              </w:rPr>
              <w:t>媒体尺寸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98" w:type="dxa"/>
            <w:tcBorders>
              <w:bottom w:val="single" w:color="000000" w:sz="4" w:space="0"/>
            </w:tcBorders>
            <w:vAlign w:val="center"/>
          </w:tcPr>
          <w:p>
            <w:pPr>
              <w:jc w:val="center"/>
              <w:rPr>
                <w:rFonts w:hint="eastAsia" w:ascii="宋体" w:hAnsi="宋体" w:eastAsia="宋体"/>
                <w:sz w:val="21"/>
                <w:szCs w:val="21"/>
                <w:lang w:eastAsia="zh-CN"/>
              </w:rPr>
            </w:pPr>
            <w:r>
              <w:rPr>
                <w:rFonts w:hint="eastAsia" w:ascii="宋体" w:hAnsi="宋体"/>
                <w:sz w:val="21"/>
                <w:szCs w:val="21"/>
                <w:lang w:val="en-US" w:eastAsia="zh-CN"/>
              </w:rPr>
              <w:t>道路指示蓝白牌</w:t>
            </w:r>
          </w:p>
        </w:tc>
        <w:tc>
          <w:tcPr>
            <w:tcW w:w="2075" w:type="dxa"/>
            <w:vMerge w:val="restart"/>
            <w:tcBorders>
              <w:bottom w:val="single" w:color="000000" w:sz="4" w:space="0"/>
            </w:tcBorders>
            <w:vAlign w:val="center"/>
          </w:tcPr>
          <w:p>
            <w:pPr>
              <w:jc w:val="center"/>
              <w:rPr>
                <w:rFonts w:hint="default" w:ascii="宋体" w:hAnsi="宋体"/>
                <w:sz w:val="21"/>
                <w:szCs w:val="21"/>
                <w:lang w:val="en-US" w:eastAsia="zh-CN"/>
              </w:rPr>
            </w:pPr>
            <w:r>
              <w:rPr>
                <w:rFonts w:hint="eastAsia" w:ascii="宋体" w:hAnsi="宋体"/>
                <w:sz w:val="21"/>
                <w:szCs w:val="21"/>
                <w:lang w:val="en-US" w:eastAsia="zh-CN"/>
              </w:rPr>
              <w:t>预计2023年2月至2023年7月（以实际发布时间为准）</w:t>
            </w:r>
          </w:p>
        </w:tc>
        <w:tc>
          <w:tcPr>
            <w:tcW w:w="1593" w:type="dxa"/>
            <w:tcBorders>
              <w:bottom w:val="single" w:color="000000" w:sz="4" w:space="0"/>
            </w:tcBorders>
            <w:vAlign w:val="center"/>
          </w:tcPr>
          <w:p>
            <w:pPr>
              <w:jc w:val="center"/>
              <w:rPr>
                <w:rFonts w:hint="default" w:ascii="宋体" w:hAnsi="宋体"/>
                <w:sz w:val="21"/>
                <w:szCs w:val="21"/>
                <w:lang w:val="en-US" w:eastAsia="zh-CN"/>
              </w:rPr>
            </w:pPr>
            <w:r>
              <w:rPr>
                <w:rFonts w:hint="default" w:ascii="宋体" w:hAnsi="宋体"/>
                <w:sz w:val="21"/>
                <w:szCs w:val="21"/>
                <w:lang w:val="en-US" w:eastAsia="zh-CN"/>
              </w:rPr>
              <w:t>12</w:t>
            </w:r>
          </w:p>
        </w:tc>
        <w:tc>
          <w:tcPr>
            <w:tcW w:w="1827" w:type="dxa"/>
            <w:vMerge w:val="restart"/>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2649"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长0.8米X2.4米高（按实际调整）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798" w:type="dxa"/>
            <w:tcBorders>
              <w:top w:val="single" w:color="000000" w:sz="4" w:space="0"/>
            </w:tcBorders>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包柱</w:t>
            </w:r>
          </w:p>
        </w:tc>
        <w:tc>
          <w:tcPr>
            <w:tcW w:w="2075" w:type="dxa"/>
            <w:vMerge w:val="continue"/>
            <w:tcBorders>
              <w:bottom w:val="single" w:color="000000" w:sz="4" w:space="0"/>
            </w:tcBorders>
            <w:vAlign w:val="center"/>
          </w:tcPr>
          <w:p>
            <w:pPr>
              <w:jc w:val="center"/>
              <w:rPr>
                <w:rFonts w:hint="eastAsia" w:ascii="宋体" w:hAnsi="宋体"/>
                <w:sz w:val="21"/>
                <w:szCs w:val="21"/>
                <w:lang w:val="en-US" w:eastAsia="zh-CN"/>
              </w:rPr>
            </w:pPr>
          </w:p>
        </w:tc>
        <w:tc>
          <w:tcPr>
            <w:tcW w:w="1593" w:type="dxa"/>
            <w:tcBorders>
              <w:top w:val="single" w:color="000000" w:sz="4" w:space="0"/>
            </w:tcBorders>
            <w:vAlign w:val="center"/>
          </w:tcPr>
          <w:p>
            <w:pPr>
              <w:jc w:val="center"/>
              <w:rPr>
                <w:rFonts w:hint="default" w:ascii="宋体" w:hAnsi="宋体"/>
                <w:sz w:val="21"/>
                <w:szCs w:val="21"/>
                <w:lang w:val="en-US" w:eastAsia="zh-CN"/>
              </w:rPr>
            </w:pPr>
            <w:r>
              <w:rPr>
                <w:rFonts w:hint="default" w:ascii="宋体" w:hAnsi="宋体"/>
                <w:sz w:val="21"/>
                <w:szCs w:val="21"/>
                <w:lang w:val="en-US" w:eastAsia="zh-CN"/>
              </w:rPr>
              <w:t>8</w:t>
            </w:r>
          </w:p>
        </w:tc>
        <w:tc>
          <w:tcPr>
            <w:tcW w:w="1827" w:type="dxa"/>
            <w:vMerge w:val="continue"/>
            <w:vAlign w:val="center"/>
          </w:tcPr>
          <w:p/>
        </w:tc>
        <w:tc>
          <w:tcPr>
            <w:tcW w:w="2649" w:type="dxa"/>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高3.2米X2米宽 侧面高3.2米1.2米宽（按实际调整）</w:t>
            </w:r>
          </w:p>
        </w:tc>
      </w:tr>
    </w:tbl>
    <w:p>
      <w:pPr>
        <w:numPr>
          <w:ilvl w:val="0"/>
          <w:numId w:val="3"/>
        </w:numPr>
        <w:snapToGrid w:val="0"/>
        <w:spacing w:line="500" w:lineRule="exact"/>
        <w:ind w:firstLine="200"/>
        <w:jc w:val="left"/>
        <w:rPr>
          <w:rFonts w:hint="eastAsia" w:ascii="黑体" w:hAnsi="宋体" w:eastAsia="黑体" w:cs="宋体"/>
          <w:b/>
          <w:sz w:val="24"/>
          <w:szCs w:val="24"/>
        </w:rPr>
      </w:pPr>
      <w:r>
        <w:rPr>
          <w:rFonts w:hint="eastAsia" w:ascii="黑体" w:hAnsi="宋体" w:eastAsia="黑体" w:cs="宋体"/>
          <w:b/>
          <w:sz w:val="24"/>
          <w:szCs w:val="24"/>
        </w:rPr>
        <w:t>广告发布金额</w:t>
      </w:r>
    </w:p>
    <w:tbl>
      <w:tblPr>
        <w:tblStyle w:val="15"/>
        <w:tblW w:w="9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6"/>
        <w:gridCol w:w="1954"/>
        <w:gridCol w:w="3768"/>
        <w:gridCol w:w="1066"/>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36" w:type="dxa"/>
            <w:vAlign w:val="center"/>
          </w:tcPr>
          <w:p>
            <w:pPr>
              <w:ind w:left="0" w:leftChars="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媒体形式</w:t>
            </w:r>
          </w:p>
        </w:tc>
        <w:tc>
          <w:tcPr>
            <w:tcW w:w="1954" w:type="dxa"/>
            <w:vAlign w:val="center"/>
          </w:tcPr>
          <w:p>
            <w:pPr>
              <w:ind w:left="0" w:leftChars="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单价（</w:t>
            </w:r>
            <w:r>
              <w:rPr>
                <w:rFonts w:hint="eastAsia" w:ascii="宋体" w:hAnsi="宋体" w:eastAsia="宋体" w:cs="宋体"/>
                <w:sz w:val="21"/>
                <w:szCs w:val="21"/>
                <w:lang w:val="en-US" w:eastAsia="zh-CN"/>
              </w:rPr>
              <w:t>块/月/元</w:t>
            </w:r>
            <w:r>
              <w:rPr>
                <w:rFonts w:hint="eastAsia" w:ascii="宋体" w:hAnsi="宋体" w:eastAsia="宋体" w:cs="宋体"/>
                <w:sz w:val="21"/>
                <w:szCs w:val="21"/>
                <w:lang w:eastAsia="zh-CN"/>
              </w:rPr>
              <w:t>）</w:t>
            </w:r>
          </w:p>
        </w:tc>
        <w:tc>
          <w:tcPr>
            <w:tcW w:w="3768" w:type="dxa"/>
            <w:vAlign w:val="center"/>
          </w:tcPr>
          <w:p>
            <w:pPr>
              <w:ind w:left="0" w:leftChars="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媒体位置</w:t>
            </w:r>
          </w:p>
        </w:tc>
        <w:tc>
          <w:tcPr>
            <w:tcW w:w="1066" w:type="dxa"/>
            <w:vAlign w:val="center"/>
          </w:tcPr>
          <w:p>
            <w:pPr>
              <w:ind w:left="0" w:leftChars="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发布</w:t>
            </w:r>
            <w:r>
              <w:rPr>
                <w:rFonts w:hint="eastAsia" w:ascii="宋体" w:hAnsi="宋体" w:cs="宋体"/>
                <w:sz w:val="21"/>
                <w:szCs w:val="21"/>
                <w:lang w:eastAsia="zh-CN"/>
              </w:rPr>
              <w:t>周</w:t>
            </w:r>
            <w:r>
              <w:rPr>
                <w:rFonts w:hint="eastAsia" w:ascii="宋体" w:hAnsi="宋体" w:eastAsia="宋体" w:cs="宋体"/>
                <w:sz w:val="21"/>
                <w:szCs w:val="21"/>
                <w:lang w:eastAsia="zh-CN"/>
              </w:rPr>
              <w:t>期</w:t>
            </w:r>
          </w:p>
        </w:tc>
        <w:tc>
          <w:tcPr>
            <w:tcW w:w="1439" w:type="dxa"/>
            <w:vAlign w:val="center"/>
          </w:tcPr>
          <w:p>
            <w:pPr>
              <w:ind w:left="0" w:leftChars="0" w:right="0" w:firstLine="0"/>
              <w:jc w:val="center"/>
              <w:rPr>
                <w:rFonts w:hint="eastAsia" w:ascii="宋体" w:hAnsi="宋体" w:eastAsia="宋体" w:cs="宋体"/>
                <w:sz w:val="21"/>
                <w:szCs w:val="21"/>
                <w:lang w:eastAsia="zh-CN"/>
              </w:rPr>
            </w:pPr>
            <w:r>
              <w:rPr>
                <w:rFonts w:hint="eastAsia" w:ascii="宋体" w:hAnsi="宋体" w:cs="宋体"/>
                <w:sz w:val="21"/>
                <w:szCs w:val="21"/>
                <w:lang w:eastAsia="zh-CN"/>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6" w:type="dxa"/>
            <w:vAlign w:val="center"/>
          </w:tcPr>
          <w:p>
            <w:pPr>
              <w:ind w:left="0" w:leftChars="0" w:right="0" w:firstLine="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道路指示蓝白牌</w:t>
            </w:r>
          </w:p>
        </w:tc>
        <w:tc>
          <w:tcPr>
            <w:tcW w:w="1954" w:type="dxa"/>
            <w:vAlign w:val="center"/>
          </w:tcPr>
          <w:p>
            <w:pPr>
              <w:ind w:left="0" w:leftChars="0" w:right="0" w:firstLine="0"/>
              <w:jc w:val="center"/>
              <w:rPr>
                <w:rFonts w:hint="default" w:ascii="宋体" w:hAnsi="宋体" w:eastAsia="宋体" w:cs="宋体"/>
                <w:sz w:val="21"/>
                <w:szCs w:val="21"/>
                <w:lang w:val="en-US" w:eastAsia="zh-CN"/>
              </w:rPr>
            </w:pPr>
          </w:p>
        </w:tc>
        <w:tc>
          <w:tcPr>
            <w:tcW w:w="3768" w:type="dxa"/>
            <w:vAlign w:val="center"/>
          </w:tcPr>
          <w:p>
            <w:pPr>
              <w:ind w:left="0" w:leftChars="0" w:right="0" w:firstLine="0"/>
              <w:jc w:val="center"/>
              <w:rPr>
                <w:rFonts w:hint="eastAsia" w:ascii="宋体" w:hAnsi="宋体" w:eastAsia="宋体" w:cs="宋体"/>
                <w:sz w:val="21"/>
                <w:szCs w:val="21"/>
                <w:lang w:val="en-US" w:eastAsia="zh-CN"/>
              </w:rPr>
            </w:pPr>
            <w:r>
              <w:rPr>
                <w:rFonts w:hint="eastAsia" w:ascii="宋体" w:hAnsi="宋体" w:cs="宋体"/>
                <w:color w:val="000000"/>
                <w:sz w:val="21"/>
                <w:szCs w:val="21"/>
                <w:lang w:eastAsia="zh-CN"/>
              </w:rPr>
              <w:t>待定</w:t>
            </w:r>
          </w:p>
        </w:tc>
        <w:tc>
          <w:tcPr>
            <w:tcW w:w="1066" w:type="dxa"/>
            <w:vMerge w:val="restart"/>
            <w:vAlign w:val="center"/>
          </w:tcPr>
          <w:p>
            <w:pPr>
              <w:ind w:left="0" w:leftChars="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6个月</w:t>
            </w:r>
          </w:p>
        </w:tc>
        <w:tc>
          <w:tcPr>
            <w:tcW w:w="1439" w:type="dxa"/>
            <w:vAlign w:val="center"/>
          </w:tcPr>
          <w:p>
            <w:pPr>
              <w:ind w:left="0" w:leftChars="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36" w:type="dxa"/>
            <w:vAlign w:val="center"/>
          </w:tcPr>
          <w:p>
            <w:pPr>
              <w:ind w:left="0" w:leftChars="0" w:right="0"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包柱</w:t>
            </w:r>
          </w:p>
        </w:tc>
        <w:tc>
          <w:tcPr>
            <w:tcW w:w="1954" w:type="dxa"/>
            <w:vAlign w:val="center"/>
          </w:tcPr>
          <w:p>
            <w:pPr>
              <w:ind w:left="0" w:leftChars="0" w:right="0" w:firstLine="0"/>
              <w:jc w:val="center"/>
              <w:rPr>
                <w:rFonts w:hint="default" w:ascii="宋体" w:hAnsi="宋体" w:eastAsia="宋体" w:cs="宋体"/>
                <w:sz w:val="21"/>
                <w:szCs w:val="21"/>
                <w:lang w:val="en-US" w:eastAsia="zh-CN"/>
              </w:rPr>
            </w:pPr>
          </w:p>
        </w:tc>
        <w:tc>
          <w:tcPr>
            <w:tcW w:w="3768" w:type="dxa"/>
            <w:vAlign w:val="center"/>
          </w:tcPr>
          <w:p>
            <w:pPr>
              <w:ind w:left="0" w:leftChars="0" w:right="0" w:firstLine="0"/>
              <w:jc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待定</w:t>
            </w:r>
          </w:p>
        </w:tc>
        <w:tc>
          <w:tcPr>
            <w:tcW w:w="1066" w:type="dxa"/>
            <w:vMerge w:val="continue"/>
            <w:vAlign w:val="center"/>
          </w:tcPr>
          <w:p/>
        </w:tc>
        <w:tc>
          <w:tcPr>
            <w:tcW w:w="1439" w:type="dxa"/>
            <w:vAlign w:val="center"/>
          </w:tcPr>
          <w:p>
            <w:pPr>
              <w:ind w:left="0" w:leftChars="0" w:right="0" w:firstLine="0"/>
              <w:jc w:val="center"/>
              <w:rPr>
                <w:rFonts w:hint="eastAsia" w:ascii="宋体" w:hAnsi="宋体" w:cs="宋体"/>
                <w:sz w:val="21"/>
                <w:szCs w:val="21"/>
                <w:lang w:val="en-US" w:eastAsia="zh-CN"/>
              </w:rPr>
            </w:pPr>
            <w:r>
              <w:rPr>
                <w:rFonts w:hint="eastAsia" w:ascii="宋体" w:hAnsi="宋体" w:cs="宋体"/>
                <w:sz w:val="21"/>
                <w:szCs w:val="21"/>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8524" w:type="dxa"/>
            <w:gridSpan w:val="4"/>
            <w:vAlign w:val="center"/>
          </w:tcPr>
          <w:p>
            <w:pPr>
              <w:ind w:left="0" w:leftChars="0" w:right="0" w:firstLine="0"/>
              <w:jc w:val="center"/>
              <w:rPr>
                <w:rFonts w:hint="default" w:ascii="宋体" w:hAnsi="宋体" w:eastAsia="宋体" w:cs="宋体"/>
                <w:sz w:val="21"/>
                <w:szCs w:val="21"/>
                <w:lang w:val="en-US" w:eastAsia="zh-CN"/>
              </w:rPr>
            </w:pPr>
            <w:r>
              <w:rPr>
                <w:rFonts w:hint="eastAsia" w:ascii="宋体" w:hAnsi="宋体" w:cs="宋体"/>
                <w:color w:val="000000"/>
                <w:sz w:val="21"/>
                <w:szCs w:val="21"/>
                <w:lang w:eastAsia="zh-CN"/>
              </w:rPr>
              <w:t>合计总价（含税）：</w:t>
            </w:r>
          </w:p>
        </w:tc>
        <w:tc>
          <w:tcPr>
            <w:tcW w:w="1439" w:type="dxa"/>
            <w:vAlign w:val="center"/>
          </w:tcPr>
          <w:p>
            <w:pPr>
              <w:ind w:left="0" w:leftChars="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元</w:t>
            </w:r>
          </w:p>
        </w:tc>
      </w:tr>
    </w:tbl>
    <w:p>
      <w:pPr>
        <w:numPr>
          <w:ilvl w:val="0"/>
          <w:numId w:val="0"/>
        </w:numPr>
        <w:snapToGrid w:val="0"/>
        <w:spacing w:line="500" w:lineRule="exact"/>
        <w:ind w:left="0" w:right="0" w:firstLine="0"/>
        <w:jc w:val="left"/>
        <w:rPr>
          <w:rFonts w:hint="eastAsia" w:ascii="黑体" w:hAnsi="宋体" w:eastAsia="黑体" w:cs="宋体"/>
          <w:b/>
          <w:sz w:val="24"/>
          <w:szCs w:val="24"/>
        </w:rPr>
      </w:pPr>
    </w:p>
    <w:p>
      <w:pPr>
        <w:snapToGrid w:val="0"/>
        <w:spacing w:line="360" w:lineRule="auto"/>
        <w:ind w:firstLine="200"/>
        <w:jc w:val="left"/>
        <w:rPr>
          <w:rFonts w:hint="eastAsia" w:ascii="宋体" w:hAnsi="宋体" w:eastAsia="宋体" w:cs="宋体"/>
          <w:b/>
          <w:sz w:val="24"/>
          <w:szCs w:val="24"/>
        </w:rPr>
      </w:pPr>
      <w:r>
        <w:rPr>
          <w:rFonts w:hint="eastAsia" w:ascii="宋体" w:hAnsi="宋体" w:eastAsia="宋体" w:cs="宋体"/>
          <w:b/>
          <w:sz w:val="24"/>
          <w:szCs w:val="24"/>
        </w:rPr>
        <w:t>三、付款、支付方式</w:t>
      </w:r>
    </w:p>
    <w:p>
      <w:pPr>
        <w:snapToGrid w:val="0"/>
        <w:spacing w:line="360" w:lineRule="auto"/>
        <w:ind w:firstLine="200"/>
        <w:jc w:val="left"/>
        <w:rPr>
          <w:rFonts w:hint="eastAsia" w:ascii="宋体" w:hAnsi="宋体" w:eastAsia="宋体" w:cs="宋体"/>
          <w:b/>
          <w:sz w:val="24"/>
          <w:szCs w:val="24"/>
          <w:lang w:val="en-US" w:eastAsia="zh-CN"/>
        </w:rPr>
      </w:pPr>
      <w:r>
        <w:rPr>
          <w:rFonts w:hint="eastAsia" w:ascii="宋体" w:hAnsi="宋体" w:eastAsia="宋体" w:cs="宋体"/>
          <w:color w:val="000000"/>
          <w:sz w:val="24"/>
          <w:szCs w:val="24"/>
        </w:rPr>
        <w:t>1、合同总价为：￥</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元人民币（大写：</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其中不含增值税价</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元，增值税率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增值税的税率按国家规定税率执行，由于乙方自身纳税人身份、纳税方式及国家税制改革原因带来税种及税率的变化，税率按实计算，乙方需提供相应税率的增值税专用发票，但非经甲方书面同意，不含增值税价保持不变。</w:t>
      </w:r>
    </w:p>
    <w:p>
      <w:pPr>
        <w:snapToGrid w:val="0"/>
        <w:spacing w:line="360" w:lineRule="auto"/>
        <w:ind w:firstLine="200"/>
        <w:rPr>
          <w:rFonts w:hint="eastAsia" w:ascii="宋体" w:hAnsi="宋体" w:eastAsia="宋体" w:cs="宋体"/>
          <w:color w:val="FF0000"/>
          <w:sz w:val="24"/>
          <w:szCs w:val="24"/>
          <w:lang w:eastAsia="zh-CN"/>
        </w:rPr>
      </w:pPr>
      <w:r>
        <w:rPr>
          <w:rFonts w:hint="eastAsia" w:ascii="宋体" w:hAnsi="宋体" w:eastAsia="宋体" w:cs="宋体"/>
          <w:sz w:val="24"/>
          <w:szCs w:val="24"/>
        </w:rPr>
        <w:t>上述价款包括广告发布费、首次上画所需办理相关手续的费用、广告安装运输费、发布周期内广告维护费</w:t>
      </w:r>
      <w:r>
        <w:rPr>
          <w:rFonts w:hint="eastAsia" w:ascii="宋体" w:hAnsi="宋体" w:eastAsia="宋体" w:cs="宋体"/>
          <w:sz w:val="24"/>
          <w:szCs w:val="24"/>
          <w:lang w:eastAsia="zh-CN"/>
        </w:rPr>
        <w:t>、税费</w:t>
      </w:r>
      <w:r>
        <w:rPr>
          <w:rFonts w:hint="eastAsia" w:ascii="宋体" w:hAnsi="宋体" w:eastAsia="宋体" w:cs="宋体"/>
          <w:sz w:val="24"/>
          <w:szCs w:val="24"/>
        </w:rPr>
        <w:t>等</w:t>
      </w:r>
      <w:r>
        <w:rPr>
          <w:rFonts w:hint="eastAsia" w:ascii="宋体" w:hAnsi="宋体" w:eastAsia="宋体" w:cs="宋体"/>
          <w:sz w:val="24"/>
          <w:szCs w:val="24"/>
          <w:lang w:val="en-US" w:eastAsia="zh-CN"/>
        </w:rPr>
        <w:t>全部费用</w:t>
      </w:r>
      <w:r>
        <w:rPr>
          <w:rFonts w:hint="eastAsia" w:ascii="宋体" w:hAnsi="宋体" w:eastAsia="宋体" w:cs="宋体"/>
          <w:sz w:val="24"/>
          <w:szCs w:val="24"/>
          <w:lang w:eastAsia="zh-CN"/>
        </w:rPr>
        <w:t>。</w:t>
      </w:r>
    </w:p>
    <w:p>
      <w:pPr>
        <w:snapToGrid w:val="0"/>
        <w:spacing w:line="360" w:lineRule="auto"/>
        <w:ind w:firstLine="200"/>
        <w:rPr>
          <w:rFonts w:hint="eastAsia" w:ascii="宋体" w:hAnsi="宋体" w:eastAsia="宋体" w:cs="宋体"/>
          <w:color w:val="000000"/>
          <w:sz w:val="24"/>
          <w:szCs w:val="24"/>
        </w:rPr>
      </w:pPr>
      <w:r>
        <w:rPr>
          <w:rFonts w:hint="eastAsia" w:ascii="宋体" w:hAnsi="宋体" w:eastAsia="宋体" w:cs="宋体"/>
          <w:color w:val="000000"/>
          <w:sz w:val="24"/>
          <w:szCs w:val="24"/>
        </w:rPr>
        <w:t>2、支付形式：</w:t>
      </w:r>
    </w:p>
    <w:p>
      <w:pPr>
        <w:snapToGrid w:val="0"/>
        <w:spacing w:line="360" w:lineRule="auto"/>
        <w:ind w:firstLine="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本合同的每笔款项以人民币支票/银行汇付（含电汇）/现金方式支付。</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lang w:eastAsia="zh-CN"/>
        </w:rPr>
        <w:t>账户信息</w:t>
      </w:r>
    </w:p>
    <w:p>
      <w:pPr>
        <w:pageBreakBefore w:val="0"/>
        <w:bidi w:val="0"/>
        <w:snapToGrid w:val="0"/>
        <w:spacing w:line="400" w:lineRule="exact"/>
        <w:ind w:left="0" w:leftChars="0" w:firstLine="20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开户</w:t>
      </w:r>
      <w:r>
        <w:rPr>
          <w:rFonts w:hint="eastAsia" w:ascii="宋体" w:hAnsi="宋体" w:eastAsia="宋体" w:cs="宋体"/>
          <w:sz w:val="24"/>
          <w:szCs w:val="24"/>
          <w:lang w:val="en-US" w:eastAsia="zh-CN"/>
        </w:rPr>
        <w:t>银</w:t>
      </w:r>
      <w:r>
        <w:rPr>
          <w:rFonts w:hint="eastAsia" w:ascii="宋体" w:hAnsi="宋体" w:eastAsia="宋体" w:cs="宋体"/>
          <w:sz w:val="24"/>
          <w:szCs w:val="24"/>
          <w:lang w:eastAsia="zh-CN"/>
        </w:rPr>
        <w:t>行：</w:t>
      </w:r>
      <w:r>
        <w:rPr>
          <w:rFonts w:hint="eastAsia" w:ascii="宋体" w:hAnsi="宋体" w:cs="宋体"/>
          <w:sz w:val="24"/>
          <w:szCs w:val="24"/>
          <w:u w:val="none"/>
          <w:lang w:val="en-US" w:eastAsia="zh-CN"/>
        </w:rPr>
        <w:t xml:space="preserve"> </w:t>
      </w:r>
    </w:p>
    <w:p>
      <w:pPr>
        <w:pageBreakBefore w:val="0"/>
        <w:bidi w:val="0"/>
        <w:snapToGrid w:val="0"/>
        <w:spacing w:line="400" w:lineRule="exact"/>
        <w:ind w:left="0" w:leftChars="0" w:firstLine="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账户名称</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p>
    <w:p>
      <w:pPr>
        <w:snapToGrid w:val="0"/>
        <w:spacing w:line="360" w:lineRule="auto"/>
        <w:ind w:firstLine="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银行</w:t>
      </w:r>
      <w:r>
        <w:rPr>
          <w:rFonts w:hint="eastAsia" w:ascii="宋体" w:hAnsi="宋体" w:eastAsia="宋体" w:cs="宋体"/>
          <w:sz w:val="24"/>
          <w:szCs w:val="24"/>
          <w:lang w:eastAsia="zh-CN"/>
        </w:rPr>
        <w:t>帐号：</w:t>
      </w:r>
    </w:p>
    <w:p>
      <w:pPr>
        <w:snapToGrid w:val="0"/>
        <w:spacing w:line="360" w:lineRule="auto"/>
        <w:ind w:firstLine="200"/>
        <w:rPr>
          <w:rFonts w:hint="eastAsia" w:ascii="宋体" w:hAnsi="宋体" w:eastAsia="宋体" w:cs="宋体"/>
          <w:color w:val="000000"/>
          <w:sz w:val="24"/>
          <w:szCs w:val="24"/>
        </w:rPr>
      </w:pPr>
      <w:r>
        <w:rPr>
          <w:rFonts w:hint="eastAsia" w:ascii="宋体" w:hAnsi="宋体" w:eastAsia="宋体" w:cs="宋体"/>
          <w:color w:val="000000"/>
          <w:sz w:val="24"/>
          <w:szCs w:val="24"/>
        </w:rPr>
        <w:t>3、支付方式</w:t>
      </w:r>
    </w:p>
    <w:p>
      <w:pPr>
        <w:spacing w:line="48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（1）从上画开始每两个月结一次，</w:t>
      </w:r>
      <w:r>
        <w:rPr>
          <w:rFonts w:hint="eastAsia" w:ascii="宋体" w:hAnsi="宋体" w:eastAsia="宋体" w:cs="宋体"/>
          <w:color w:val="000000"/>
          <w:sz w:val="24"/>
          <w:szCs w:val="24"/>
          <w:lang w:val="en-US" w:eastAsia="zh-CN"/>
        </w:rPr>
        <w:t>每次</w:t>
      </w:r>
      <w:r>
        <w:rPr>
          <w:rFonts w:hint="eastAsia" w:ascii="宋体" w:hAnsi="宋体" w:eastAsia="宋体" w:cs="宋体"/>
          <w:color w:val="000000"/>
          <w:sz w:val="24"/>
          <w:szCs w:val="24"/>
        </w:rPr>
        <w:t>即￥</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元整），分</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次付清，总额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元整）；</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）以</w:t>
      </w:r>
      <w:r>
        <w:rPr>
          <w:rFonts w:hint="eastAsia" w:ascii="宋体" w:hAnsi="宋体" w:eastAsia="宋体" w:cs="宋体"/>
          <w:sz w:val="24"/>
          <w:szCs w:val="24"/>
        </w:rPr>
        <w:t>上每笔款项支付前，乙方须提前7个工作日向甲方提供相应等额</w:t>
      </w:r>
      <w:r>
        <w:rPr>
          <w:rFonts w:hint="eastAsia" w:ascii="宋体" w:hAnsi="宋体" w:eastAsia="宋体" w:cs="宋体"/>
          <w:sz w:val="24"/>
          <w:szCs w:val="24"/>
          <w:lang w:val="en-US" w:eastAsia="zh-CN"/>
        </w:rPr>
        <w:t>增值税专用</w:t>
      </w:r>
      <w:r>
        <w:rPr>
          <w:rFonts w:hint="eastAsia" w:ascii="宋体" w:hAnsi="宋体" w:eastAsia="宋体" w:cs="宋体"/>
          <w:sz w:val="24"/>
          <w:szCs w:val="24"/>
        </w:rPr>
        <w:t>票据，否则甲方有权相应顺延付款时间且不视为甲方逾期付款。</w:t>
      </w:r>
    </w:p>
    <w:p>
      <w:pPr>
        <w:snapToGrid w:val="0"/>
        <w:spacing w:line="360" w:lineRule="auto"/>
        <w:ind w:firstLine="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甲方开票信息：</w:t>
      </w:r>
    </w:p>
    <w:p>
      <w:pPr>
        <w:pStyle w:val="13"/>
        <w:shd w:val="clear" w:color="000000" w:fill="FFFFFF"/>
        <w:spacing w:before="0" w:after="0" w:line="384" w:lineRule="atLeast"/>
        <w:ind w:firstLine="400"/>
        <w:rPr>
          <w:rStyle w:val="18"/>
          <w:rFonts w:hint="eastAsia" w:ascii="宋体" w:hAnsi="宋体" w:eastAsia="宋体" w:cs="宋体"/>
          <w:b w:val="0"/>
          <w:color w:val="3E3E3E"/>
          <w:sz w:val="24"/>
          <w:szCs w:val="24"/>
        </w:rPr>
      </w:pPr>
      <w:r>
        <w:rPr>
          <w:rStyle w:val="18"/>
          <w:rFonts w:hint="eastAsia" w:ascii="宋体" w:hAnsi="宋体" w:eastAsia="宋体" w:cs="宋体"/>
          <w:b w:val="0"/>
          <w:color w:val="3E3E3E"/>
          <w:sz w:val="24"/>
          <w:szCs w:val="24"/>
        </w:rPr>
        <w:t>单位名称：</w:t>
      </w:r>
      <w:r>
        <w:rPr>
          <w:rStyle w:val="18"/>
          <w:rFonts w:hint="eastAsia" w:ascii="宋体" w:hAnsi="宋体" w:eastAsia="宋体" w:cs="宋体"/>
          <w:b w:val="0"/>
          <w:color w:val="3E3E3E"/>
          <w:sz w:val="24"/>
          <w:szCs w:val="24"/>
          <w:highlight w:val="none"/>
        </w:rPr>
        <w:t>广州市城壹房地产</w:t>
      </w:r>
      <w:r>
        <w:rPr>
          <w:rStyle w:val="18"/>
          <w:rFonts w:hint="eastAsia" w:ascii="宋体" w:hAnsi="宋体" w:eastAsia="宋体" w:cs="宋体"/>
          <w:b w:val="0"/>
          <w:color w:val="3E3E3E"/>
          <w:sz w:val="24"/>
          <w:szCs w:val="24"/>
          <w:highlight w:val="none"/>
          <w:lang w:val="en-US" w:eastAsia="zh-CN"/>
        </w:rPr>
        <w:t>顾问</w:t>
      </w:r>
      <w:r>
        <w:rPr>
          <w:rStyle w:val="18"/>
          <w:rFonts w:hint="eastAsia" w:ascii="宋体" w:hAnsi="宋体" w:eastAsia="宋体" w:cs="宋体"/>
          <w:b w:val="0"/>
          <w:color w:val="3E3E3E"/>
          <w:sz w:val="24"/>
          <w:szCs w:val="24"/>
          <w:highlight w:val="none"/>
        </w:rPr>
        <w:t>有限公司</w:t>
      </w:r>
    </w:p>
    <w:p>
      <w:pPr>
        <w:pStyle w:val="13"/>
        <w:shd w:val="clear" w:color="000000" w:fill="FFFFFF"/>
        <w:spacing w:before="0" w:after="0" w:line="384" w:lineRule="atLeast"/>
        <w:ind w:firstLine="400"/>
        <w:rPr>
          <w:rFonts w:hint="eastAsia" w:ascii="宋体" w:hAnsi="宋体" w:eastAsia="宋体" w:cs="宋体"/>
          <w:sz w:val="24"/>
          <w:szCs w:val="24"/>
        </w:rPr>
      </w:pPr>
      <w:r>
        <w:rPr>
          <w:rStyle w:val="18"/>
          <w:rFonts w:hint="eastAsia" w:ascii="宋体" w:hAnsi="宋体" w:eastAsia="宋体" w:cs="宋体"/>
          <w:b w:val="0"/>
          <w:color w:val="3E3E3E"/>
          <w:sz w:val="24"/>
          <w:szCs w:val="24"/>
        </w:rPr>
        <w:t>纳税人识别号（统一社会信用代码）：</w:t>
      </w:r>
      <w:r>
        <w:rPr>
          <w:rFonts w:hint="eastAsia" w:ascii="宋体" w:hAnsi="宋体" w:eastAsia="宋体" w:cs="宋体"/>
          <w:sz w:val="24"/>
          <w:szCs w:val="24"/>
        </w:rPr>
        <w:t>91440101304504400X</w:t>
      </w:r>
    </w:p>
    <w:p>
      <w:pPr>
        <w:pStyle w:val="13"/>
        <w:shd w:val="clear" w:color="000000" w:fill="FFFFFF"/>
        <w:spacing w:before="0" w:after="0" w:line="384" w:lineRule="atLeast"/>
        <w:ind w:firstLine="400"/>
        <w:rPr>
          <w:rFonts w:hint="eastAsia" w:ascii="宋体" w:hAnsi="宋体" w:eastAsia="宋体" w:cs="宋体"/>
          <w:sz w:val="24"/>
          <w:szCs w:val="24"/>
        </w:rPr>
      </w:pPr>
      <w:r>
        <w:rPr>
          <w:rFonts w:hint="eastAsia" w:ascii="宋体" w:hAnsi="宋体" w:eastAsia="宋体" w:cs="宋体"/>
          <w:sz w:val="24"/>
          <w:szCs w:val="24"/>
        </w:rPr>
        <w:t>地址：广州市越秀区流花路117号自编22号楼5楼</w:t>
      </w:r>
    </w:p>
    <w:p>
      <w:pPr>
        <w:pStyle w:val="13"/>
        <w:shd w:val="clear" w:color="000000" w:fill="FFFFFF"/>
        <w:spacing w:before="0" w:after="0" w:line="384" w:lineRule="atLeast"/>
        <w:ind w:firstLine="400"/>
        <w:rPr>
          <w:rFonts w:hint="eastAsia" w:ascii="宋体" w:hAnsi="宋体" w:eastAsia="宋体" w:cs="宋体"/>
          <w:color w:val="auto"/>
          <w:sz w:val="24"/>
          <w:szCs w:val="24"/>
          <w:lang w:val="en-US" w:eastAsia="zh-CN"/>
        </w:rPr>
      </w:pPr>
      <w:r>
        <w:rPr>
          <w:rFonts w:hint="eastAsia" w:ascii="宋体" w:hAnsi="宋体" w:eastAsia="宋体" w:cs="宋体"/>
          <w:sz w:val="24"/>
          <w:szCs w:val="24"/>
        </w:rPr>
        <w:t>电话：020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83707917</w:t>
      </w:r>
    </w:p>
    <w:p>
      <w:pPr>
        <w:pStyle w:val="13"/>
        <w:shd w:val="clear" w:color="000000" w:fill="FFFFFF"/>
        <w:spacing w:before="0" w:after="0" w:line="384" w:lineRule="atLeast"/>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开户行：广州银行</w:t>
      </w:r>
      <w:r>
        <w:rPr>
          <w:rFonts w:hint="eastAsia" w:ascii="宋体" w:hAnsi="宋体" w:eastAsia="宋体" w:cs="宋体"/>
          <w:color w:val="auto"/>
          <w:sz w:val="24"/>
          <w:szCs w:val="24"/>
          <w:highlight w:val="none"/>
          <w:lang w:eastAsia="zh-CN"/>
        </w:rPr>
        <w:t>越秀</w:t>
      </w:r>
      <w:r>
        <w:rPr>
          <w:rFonts w:hint="eastAsia" w:ascii="宋体" w:hAnsi="宋体" w:eastAsia="宋体" w:cs="宋体"/>
          <w:color w:val="auto"/>
          <w:sz w:val="24"/>
          <w:szCs w:val="24"/>
          <w:highlight w:val="none"/>
        </w:rPr>
        <w:t>支行</w:t>
      </w:r>
    </w:p>
    <w:p>
      <w:pPr>
        <w:pStyle w:val="13"/>
        <w:shd w:val="clear" w:color="000000" w:fill="FFFFFF"/>
        <w:spacing w:before="0" w:after="0" w:line="384" w:lineRule="atLeast"/>
        <w:ind w:firstLine="400"/>
        <w:rPr>
          <w:rFonts w:hint="eastAsia" w:ascii="宋体" w:hAnsi="宋体" w:eastAsia="宋体" w:cs="宋体"/>
          <w:sz w:val="24"/>
          <w:szCs w:val="24"/>
          <w:highlight w:val="none"/>
        </w:rPr>
      </w:pPr>
      <w:r>
        <w:rPr>
          <w:rFonts w:hint="eastAsia" w:ascii="宋体" w:hAnsi="宋体" w:eastAsia="宋体" w:cs="宋体"/>
          <w:sz w:val="24"/>
          <w:szCs w:val="24"/>
          <w:highlight w:val="none"/>
        </w:rPr>
        <w:t>账号：800234606812128</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b/>
          <w:sz w:val="24"/>
          <w:szCs w:val="24"/>
        </w:rPr>
        <w:t>四、双方权利义务</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sz w:val="24"/>
          <w:szCs w:val="24"/>
        </w:rPr>
        <w:t>（一）甲方权利义务</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color w:val="000000"/>
          <w:sz w:val="24"/>
          <w:szCs w:val="24"/>
        </w:rPr>
        <w:t>1．甲方有权在签订本合同前对乙方进行相关的资格审查。</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sz w:val="24"/>
          <w:szCs w:val="24"/>
        </w:rPr>
        <w:t>2．甲方应在广告发布日的</w:t>
      </w:r>
      <w:r>
        <w:rPr>
          <w:rFonts w:hint="eastAsia" w:ascii="宋体" w:hAnsi="宋体" w:eastAsia="宋体" w:cs="宋体"/>
          <w:sz w:val="24"/>
          <w:szCs w:val="24"/>
          <w:u w:val="single"/>
        </w:rPr>
        <w:t xml:space="preserve"> 15 </w:t>
      </w:r>
      <w:r>
        <w:rPr>
          <w:rFonts w:hint="eastAsia" w:ascii="宋体" w:hAnsi="宋体" w:eastAsia="宋体" w:cs="宋体"/>
          <w:sz w:val="24"/>
          <w:szCs w:val="24"/>
        </w:rPr>
        <w:t>天前，向乙方提供广告样稿，承诺样稿内容真实、合法，并办理书面确认手续。</w:t>
      </w:r>
    </w:p>
    <w:p>
      <w:pPr>
        <w:snapToGrid w:val="0"/>
        <w:spacing w:line="360" w:lineRule="auto"/>
        <w:ind w:firstLine="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3．甲方向乙方提交的广告发布样稿不得侵犯他人著作权和人身权及不存在任何的权利瑕疵，如因广告发布稿所产生的法律责任及民事纠纷等产生的一切后果由甲方承担。</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sz w:val="24"/>
          <w:szCs w:val="24"/>
        </w:rPr>
        <w:t>4．甲方应按照合同约定的金额、时间、方式支付合同价款。</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sz w:val="24"/>
          <w:szCs w:val="24"/>
        </w:rPr>
        <w:t>5．因乙方原因造成广告无法按期发布的，甲方有权要求乙方顺延履行。</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sz w:val="24"/>
          <w:szCs w:val="24"/>
        </w:rPr>
        <w:t>6．在同等条件下，甲方享有本广告投放的优先续约权。</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sz w:val="24"/>
          <w:szCs w:val="24"/>
        </w:rPr>
        <w:t>（二）乙方权利义务</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color w:val="000000"/>
          <w:sz w:val="24"/>
          <w:szCs w:val="24"/>
        </w:rPr>
        <w:t>1．乙方合法拥有本合同约定媒体的户外广告发布经营资格。</w:t>
      </w:r>
    </w:p>
    <w:p>
      <w:pPr>
        <w:snapToGrid w:val="0"/>
        <w:spacing w:line="360" w:lineRule="auto"/>
        <w:ind w:firstLine="200"/>
        <w:rPr>
          <w:rFonts w:hint="eastAsia" w:ascii="宋体" w:hAnsi="宋体" w:eastAsia="宋体" w:cs="宋体"/>
          <w:b/>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．甲乙双方应建立广告审查制度，配备双方均配备相应的广告审查人员，审查广告样稿。发布的广告样稿必须经双方广告审查人员签字同意后方才可发布，并记录存档。</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．乙方应当及时维护发布本户外广告的相应设施，确保广告发布设施的正常使用和广告内容的正常效果并承担相应费用。</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．乙方在履行本合同约定义务过程中，若造成乙方工作人员或者任何第三方人身或者财产损失的，由乙方负责赔偿。在乙方未依法赔偿之前，甲方有权暂延向乙方付款且不视为甲方违约。</w:t>
      </w:r>
    </w:p>
    <w:p>
      <w:pPr>
        <w:spacing w:line="360" w:lineRule="auto"/>
        <w:ind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、乙方应如实提供户外广告发布</w:t>
      </w:r>
      <w:r>
        <w:rPr>
          <w:rFonts w:hint="eastAsia" w:ascii="宋体" w:hAnsi="宋体" w:eastAsia="宋体" w:cs="宋体"/>
          <w:sz w:val="24"/>
          <w:szCs w:val="24"/>
          <w:lang w:eastAsia="zh-CN"/>
        </w:rPr>
        <w:t>的每</w:t>
      </w:r>
      <w:r>
        <w:rPr>
          <w:rFonts w:hint="eastAsia" w:ascii="宋体" w:hAnsi="宋体" w:cs="宋体"/>
          <w:sz w:val="24"/>
          <w:szCs w:val="24"/>
          <w:lang w:val="en-US" w:eastAsia="zh-CN"/>
        </w:rPr>
        <w:t>两</w:t>
      </w:r>
      <w:r>
        <w:rPr>
          <w:rFonts w:hint="eastAsia" w:ascii="宋体" w:hAnsi="宋体" w:eastAsia="宋体" w:cs="宋体"/>
          <w:sz w:val="24"/>
          <w:szCs w:val="24"/>
          <w:lang w:eastAsia="zh-CN"/>
        </w:rPr>
        <w:t>个月带报纸日期的现场照片</w:t>
      </w:r>
      <w:r>
        <w:rPr>
          <w:rFonts w:hint="eastAsia" w:ascii="宋体" w:hAnsi="宋体" w:eastAsia="宋体" w:cs="宋体"/>
          <w:sz w:val="24"/>
          <w:szCs w:val="24"/>
        </w:rPr>
        <w:t>资料</w:t>
      </w:r>
      <w:r>
        <w:rPr>
          <w:rFonts w:hint="eastAsia" w:ascii="宋体" w:hAnsi="宋体" w:eastAsia="宋体" w:cs="宋体"/>
          <w:sz w:val="24"/>
          <w:szCs w:val="24"/>
          <w:lang w:eastAsia="zh-CN"/>
        </w:rPr>
        <w:t>给甲方，</w:t>
      </w:r>
      <w:r>
        <w:rPr>
          <w:rFonts w:hint="eastAsia" w:ascii="宋体" w:hAnsi="宋体" w:eastAsia="宋体" w:cs="宋体"/>
          <w:sz w:val="24"/>
          <w:szCs w:val="24"/>
        </w:rPr>
        <w:t>乙方通知甲方，甲方应在</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5 </w:t>
      </w:r>
      <w:r>
        <w:rPr>
          <w:rFonts w:hint="eastAsia" w:ascii="宋体" w:hAnsi="宋体" w:eastAsia="宋体" w:cs="宋体"/>
          <w:sz w:val="24"/>
          <w:szCs w:val="24"/>
        </w:rPr>
        <w:t>个工作日内到现场验收，如在</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5 </w:t>
      </w:r>
      <w:r>
        <w:rPr>
          <w:rFonts w:hint="eastAsia" w:ascii="宋体" w:hAnsi="宋体" w:eastAsia="宋体" w:cs="宋体"/>
          <w:sz w:val="24"/>
          <w:szCs w:val="24"/>
        </w:rPr>
        <w:t>个工作日内甲方不验收，乙方视为甲方对该广告验收通过。如确实存在质量问题，则实际发布日按乙方修复并经甲方验收合格之日起计算。对于甲方在验收中提出的问题，乙方应积极按照甲方的要求组织整改，保证工程质量。</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b/>
          <w:sz w:val="24"/>
          <w:szCs w:val="24"/>
        </w:rPr>
        <w:t>五、不可抗力</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广告发布后，如因（包括但不限于）自然灾害、战争、动乱、罢工、政府机构的行为等不可抗力因素而导致：</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1．暂时中止广告发布，乙方应尽快通知甲方停止发布和预期恢复发布时间，并相应延长广告发布时间；</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2．终止发布广告，广告发布费计算至广告发布终止日，甲乙双方应按广告实际发布时间结</w:t>
      </w:r>
      <w:r>
        <w:rPr>
          <w:rFonts w:hint="eastAsia" w:ascii="宋体" w:hAnsi="宋体" w:eastAsia="宋体" w:cs="宋体"/>
          <w:sz w:val="24"/>
          <w:szCs w:val="24"/>
          <w:lang w:val="en-US" w:eastAsia="zh-CN"/>
        </w:rPr>
        <w:t>算</w:t>
      </w:r>
      <w:r>
        <w:rPr>
          <w:rFonts w:hint="eastAsia" w:ascii="宋体" w:hAnsi="宋体" w:eastAsia="宋体" w:cs="宋体"/>
          <w:sz w:val="24"/>
          <w:szCs w:val="24"/>
        </w:rPr>
        <w:t>广告发布费用；</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b/>
          <w:sz w:val="24"/>
          <w:szCs w:val="24"/>
        </w:rPr>
        <w:t>六、违约责任</w:t>
      </w:r>
    </w:p>
    <w:p>
      <w:pPr>
        <w:snapToGrid w:val="0"/>
        <w:spacing w:line="360" w:lineRule="auto"/>
        <w:ind w:firstLine="196"/>
        <w:rPr>
          <w:rFonts w:hint="eastAsia" w:ascii="宋体" w:hAnsi="宋体" w:eastAsia="宋体" w:cs="宋体"/>
          <w:sz w:val="24"/>
          <w:szCs w:val="24"/>
        </w:rPr>
      </w:pPr>
      <w:r>
        <w:rPr>
          <w:rFonts w:hint="eastAsia" w:ascii="宋体" w:hAnsi="宋体" w:eastAsia="宋体" w:cs="宋体"/>
          <w:sz w:val="24"/>
          <w:szCs w:val="24"/>
        </w:rPr>
        <w:t>1.下列行为或情形构成合同违约：</w:t>
      </w:r>
    </w:p>
    <w:p>
      <w:pPr>
        <w:snapToGrid w:val="0"/>
        <w:spacing w:line="360" w:lineRule="auto"/>
        <w:ind w:firstLine="196"/>
        <w:rPr>
          <w:rFonts w:hint="eastAsia" w:ascii="宋体" w:hAnsi="宋体" w:eastAsia="宋体" w:cs="宋体"/>
          <w:sz w:val="24"/>
          <w:szCs w:val="24"/>
        </w:rPr>
      </w:pPr>
      <w:r>
        <w:rPr>
          <w:rFonts w:hint="eastAsia" w:ascii="宋体" w:hAnsi="宋体" w:eastAsia="宋体" w:cs="宋体"/>
          <w:sz w:val="24"/>
          <w:szCs w:val="24"/>
        </w:rPr>
        <w:t>（1）甲方未能按本合同规定按期足额支付广告发布款，或乙方未能按本合同规定按期足额制作、发布广告内容；</w:t>
      </w:r>
    </w:p>
    <w:p>
      <w:pPr>
        <w:snapToGrid w:val="0"/>
        <w:spacing w:line="360" w:lineRule="auto"/>
        <w:ind w:firstLine="196"/>
        <w:rPr>
          <w:rFonts w:hint="eastAsia" w:ascii="宋体" w:hAnsi="宋体" w:eastAsia="宋体" w:cs="宋体"/>
          <w:sz w:val="24"/>
          <w:szCs w:val="24"/>
        </w:rPr>
      </w:pPr>
      <w:r>
        <w:rPr>
          <w:rFonts w:hint="eastAsia" w:ascii="宋体" w:hAnsi="宋体" w:eastAsia="宋体" w:cs="宋体"/>
          <w:sz w:val="24"/>
          <w:szCs w:val="24"/>
        </w:rPr>
        <w:t>（2）合同任何一方未能履行其在本合同规定的义务或责任（上述规定的付款义务以外的义务），且在收到对方书面通知后10日内未能补救的；</w:t>
      </w:r>
    </w:p>
    <w:p>
      <w:pPr>
        <w:snapToGrid w:val="0"/>
        <w:spacing w:line="360" w:lineRule="auto"/>
        <w:ind w:firstLine="196"/>
        <w:rPr>
          <w:rFonts w:hint="eastAsia" w:ascii="宋体" w:hAnsi="宋体" w:eastAsia="宋体" w:cs="宋体"/>
          <w:sz w:val="24"/>
          <w:szCs w:val="24"/>
        </w:rPr>
      </w:pPr>
      <w:r>
        <w:rPr>
          <w:rFonts w:hint="eastAsia" w:ascii="宋体" w:hAnsi="宋体" w:eastAsia="宋体" w:cs="宋体"/>
          <w:sz w:val="24"/>
          <w:szCs w:val="24"/>
        </w:rPr>
        <w:t>（3）一方向另一方作出的陈述、保证及提供的文件含虚假、欺诈、误导等内容，导致本合同无效、或无法履行、或对方损失的；</w:t>
      </w:r>
    </w:p>
    <w:p>
      <w:pPr>
        <w:snapToGrid w:val="0"/>
        <w:spacing w:line="360" w:lineRule="auto"/>
        <w:ind w:firstLine="196"/>
        <w:rPr>
          <w:rFonts w:hint="eastAsia" w:ascii="宋体" w:hAnsi="宋体" w:eastAsia="宋体" w:cs="宋体"/>
          <w:sz w:val="24"/>
          <w:szCs w:val="24"/>
        </w:rPr>
      </w:pPr>
      <w:r>
        <w:rPr>
          <w:rFonts w:hint="eastAsia" w:ascii="宋体" w:hAnsi="宋体" w:eastAsia="宋体" w:cs="宋体"/>
          <w:sz w:val="24"/>
          <w:szCs w:val="24"/>
        </w:rPr>
        <w:t>（4）合同签定后，一方无故终止或不履行合同约定条款的。</w:t>
      </w:r>
    </w:p>
    <w:p>
      <w:pPr>
        <w:snapToGrid w:val="0"/>
        <w:spacing w:line="360" w:lineRule="auto"/>
        <w:ind w:firstLine="196"/>
        <w:rPr>
          <w:rFonts w:hint="eastAsia" w:ascii="宋体" w:hAnsi="宋体" w:eastAsia="宋体" w:cs="宋体"/>
          <w:sz w:val="24"/>
          <w:szCs w:val="24"/>
        </w:rPr>
      </w:pPr>
      <w:r>
        <w:rPr>
          <w:rFonts w:hint="eastAsia" w:ascii="宋体" w:hAnsi="宋体" w:eastAsia="宋体" w:cs="宋体"/>
          <w:sz w:val="24"/>
          <w:szCs w:val="24"/>
        </w:rPr>
        <w:t>2．如出现上述违约事件导致合同无法履行的，合同双方均有权解除合同，撤除广告，并继续追索未付款项，为此而发生的所有合理费用（包括合理的律师费用）均由责任方承担；</w:t>
      </w:r>
    </w:p>
    <w:p>
      <w:pPr>
        <w:snapToGrid w:val="0"/>
        <w:spacing w:line="360" w:lineRule="auto"/>
        <w:ind w:firstLine="196"/>
        <w:rPr>
          <w:rFonts w:hint="eastAsia" w:ascii="宋体" w:hAnsi="宋体" w:eastAsia="宋体" w:cs="宋体"/>
          <w:sz w:val="24"/>
          <w:szCs w:val="24"/>
        </w:rPr>
      </w:pPr>
      <w:r>
        <w:rPr>
          <w:rFonts w:hint="eastAsia" w:ascii="宋体" w:hAnsi="宋体" w:eastAsia="宋体" w:cs="宋体"/>
          <w:sz w:val="24"/>
          <w:szCs w:val="24"/>
        </w:rPr>
        <w:t>3．乙方未按约定发布广告、维护广告或者甲方逾期付款的，违约方均应每日按合同签约金额万分之三的比例支付违约金；</w:t>
      </w:r>
    </w:p>
    <w:p>
      <w:pPr>
        <w:snapToGrid w:val="0"/>
        <w:spacing w:line="360" w:lineRule="auto"/>
        <w:ind w:firstLine="196"/>
        <w:rPr>
          <w:rFonts w:hint="eastAsia" w:ascii="宋体" w:hAnsi="宋体" w:eastAsia="宋体" w:cs="宋体"/>
          <w:sz w:val="24"/>
          <w:szCs w:val="24"/>
        </w:rPr>
      </w:pPr>
      <w:r>
        <w:rPr>
          <w:rFonts w:hint="eastAsia" w:ascii="宋体" w:hAnsi="宋体" w:eastAsia="宋体" w:cs="宋体"/>
          <w:sz w:val="24"/>
          <w:szCs w:val="24"/>
        </w:rPr>
        <w:t>4．甲乙双方应正当行使权利，履行义务，保证本合同的顺利履行。任何一方没有充分、及时履行义务的，应当承担违约责任；给对方造成损失的，应赔偿对方由此所遭受的直接经济损失。</w:t>
      </w:r>
    </w:p>
    <w:p>
      <w:pPr>
        <w:numPr>
          <w:ilvl w:val="0"/>
          <w:numId w:val="4"/>
        </w:numPr>
        <w:snapToGrid w:val="0"/>
        <w:spacing w:line="360" w:lineRule="auto"/>
        <w:rPr>
          <w:rFonts w:hint="eastAsia" w:ascii="宋体" w:hAnsi="宋体" w:eastAsia="宋体" w:cs="宋体"/>
          <w:sz w:val="24"/>
          <w:szCs w:val="24"/>
        </w:rPr>
      </w:pPr>
      <w:r>
        <w:rPr>
          <w:rFonts w:hint="eastAsia" w:ascii="宋体" w:hAnsi="宋体" w:eastAsia="宋体" w:cs="宋体"/>
          <w:b/>
          <w:sz w:val="24"/>
          <w:szCs w:val="24"/>
        </w:rPr>
        <w:t>争议</w:t>
      </w:r>
      <w:r>
        <w:rPr>
          <w:rFonts w:hint="eastAsia" w:ascii="宋体" w:hAnsi="宋体" w:eastAsia="宋体" w:cs="宋体"/>
          <w:b/>
          <w:sz w:val="24"/>
          <w:szCs w:val="24"/>
          <w:lang w:val="en-US" w:eastAsia="zh-CN"/>
        </w:rPr>
        <w:t>处理</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本合同适用法律为中华人民共和国法律、法规。双方在合同履行过程中发生争议的，应先协商解决，经协商无法解决的，由甲方注册所在地人民法院管辖。</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b/>
          <w:sz w:val="24"/>
          <w:szCs w:val="24"/>
        </w:rPr>
        <w:t>八、合同生效</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1．本合同经双方法定代表人或其授权代表签字，加盖公章后即时生效；</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2．本合同正本一式</w:t>
      </w:r>
      <w:r>
        <w:rPr>
          <w:rFonts w:hint="eastAsia" w:ascii="宋体" w:hAnsi="宋体" w:cs="宋体"/>
          <w:sz w:val="24"/>
          <w:szCs w:val="24"/>
          <w:lang w:eastAsia="zh-CN"/>
        </w:rPr>
        <w:t>肆</w:t>
      </w:r>
      <w:r>
        <w:rPr>
          <w:rFonts w:hint="eastAsia" w:ascii="宋体" w:hAnsi="宋体" w:eastAsia="宋体" w:cs="宋体"/>
          <w:sz w:val="24"/>
          <w:szCs w:val="24"/>
        </w:rPr>
        <w:t>份，</w:t>
      </w:r>
      <w:r>
        <w:rPr>
          <w:rFonts w:hint="eastAsia" w:ascii="宋体" w:hAnsi="宋体" w:cs="宋体"/>
          <w:sz w:val="24"/>
          <w:szCs w:val="24"/>
          <w:lang w:eastAsia="zh-CN"/>
        </w:rPr>
        <w:t>甲方执</w:t>
      </w:r>
      <w:r>
        <w:rPr>
          <w:rFonts w:hint="eastAsia" w:ascii="宋体" w:hAnsi="宋体" w:cs="宋体"/>
          <w:sz w:val="24"/>
          <w:szCs w:val="24"/>
          <w:lang w:val="en-US" w:eastAsia="zh-CN"/>
        </w:rPr>
        <w:t>贰</w:t>
      </w:r>
      <w:r>
        <w:rPr>
          <w:rFonts w:hint="eastAsia" w:ascii="宋体" w:hAnsi="宋体" w:cs="宋体"/>
          <w:sz w:val="24"/>
          <w:szCs w:val="24"/>
          <w:lang w:eastAsia="zh-CN"/>
        </w:rPr>
        <w:t>份，乙</w:t>
      </w:r>
      <w:r>
        <w:rPr>
          <w:rFonts w:hint="eastAsia" w:ascii="宋体" w:hAnsi="宋体" w:eastAsia="宋体" w:cs="宋体"/>
          <w:sz w:val="24"/>
          <w:szCs w:val="24"/>
        </w:rPr>
        <w:t>方执</w:t>
      </w:r>
      <w:r>
        <w:rPr>
          <w:rFonts w:hint="eastAsia" w:ascii="宋体" w:hAnsi="宋体" w:cs="宋体"/>
          <w:sz w:val="24"/>
          <w:szCs w:val="24"/>
          <w:lang w:val="en-US" w:eastAsia="zh-CN"/>
        </w:rPr>
        <w:t>贰</w:t>
      </w:r>
      <w:r>
        <w:rPr>
          <w:rFonts w:hint="eastAsia" w:ascii="宋体" w:hAnsi="宋体" w:eastAsia="宋体" w:cs="宋体"/>
          <w:sz w:val="24"/>
          <w:szCs w:val="24"/>
        </w:rPr>
        <w:t>份，具有同等法律效力；</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3．此合同签署同时，附件即作为不可分割部分，双方将以本合同</w:t>
      </w:r>
      <w:r>
        <w:rPr>
          <w:rFonts w:hint="eastAsia" w:ascii="宋体" w:hAnsi="宋体" w:eastAsia="宋体" w:cs="宋体"/>
          <w:sz w:val="24"/>
          <w:szCs w:val="24"/>
          <w:u w:val="single"/>
        </w:rPr>
        <w:t>附件1</w:t>
      </w:r>
      <w:r>
        <w:rPr>
          <w:rFonts w:hint="eastAsia" w:ascii="宋体" w:hAnsi="宋体" w:eastAsia="宋体" w:cs="宋体"/>
          <w:sz w:val="24"/>
          <w:szCs w:val="24"/>
        </w:rPr>
        <w:t>对发布的具体内容进行确认；</w:t>
      </w:r>
    </w:p>
    <w:p>
      <w:pPr>
        <w:snapToGrid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4．本合同未列明之事宜，双方可另行签署补充合同或合同附件，补充合同或合同附件与本合同具有同等的法律效力。</w:t>
      </w:r>
    </w:p>
    <w:p>
      <w:pPr>
        <w:snapToGrid w:val="0"/>
        <w:spacing w:line="360" w:lineRule="auto"/>
        <w:jc w:val="left"/>
        <w:rPr>
          <w:rFonts w:hint="eastAsia" w:ascii="宋体" w:hAnsi="宋体"/>
          <w:b/>
        </w:rPr>
      </w:pPr>
    </w:p>
    <w:p>
      <w:pPr>
        <w:snapToGrid w:val="0"/>
        <w:spacing w:line="360" w:lineRule="auto"/>
        <w:jc w:val="left"/>
        <w:rPr>
          <w:rFonts w:hint="eastAsia" w:ascii="宋体" w:hAnsi="宋体"/>
          <w:b/>
        </w:rPr>
      </w:pPr>
    </w:p>
    <w:p>
      <w:pPr>
        <w:snapToGrid w:val="0"/>
        <w:spacing w:line="480" w:lineRule="auto"/>
        <w:ind w:left="-1764" w:leftChars="-840" w:firstLine="0"/>
        <w:jc w:val="left"/>
        <w:rPr>
          <w:rFonts w:hint="eastAsia" w:ascii="宋体" w:hAnsi="宋体" w:eastAsia="宋体" w:cs="宋体"/>
          <w:sz w:val="24"/>
          <w:szCs w:val="24"/>
        </w:rPr>
      </w:pPr>
    </w:p>
    <w:p>
      <w:pPr>
        <w:snapToGrid w:val="0"/>
        <w:spacing w:line="48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甲方</w:t>
      </w:r>
      <w:r>
        <w:rPr>
          <w:rFonts w:hint="eastAsia" w:ascii="宋体" w:hAnsi="宋体" w:cs="宋体"/>
          <w:sz w:val="24"/>
          <w:szCs w:val="24"/>
          <w:lang w:val="en-US" w:eastAsia="zh-CN"/>
        </w:rPr>
        <w:t xml:space="preserve"> </w:t>
      </w:r>
      <w:r>
        <w:rPr>
          <w:rFonts w:hint="eastAsia" w:ascii="宋体" w:hAnsi="宋体" w:eastAsia="宋体" w:cs="宋体"/>
          <w:sz w:val="24"/>
          <w:szCs w:val="24"/>
        </w:rPr>
        <w:t>(盖章)：</w:t>
      </w:r>
      <w:r>
        <w:rPr>
          <w:rFonts w:hint="eastAsia" w:ascii="宋体" w:hAnsi="宋体" w:cs="宋体"/>
          <w:sz w:val="24"/>
          <w:szCs w:val="24"/>
          <w:lang w:val="en-US" w:eastAsia="zh-CN"/>
        </w:rPr>
        <w:t xml:space="preserve">                       </w:t>
      </w:r>
      <w:r>
        <w:rPr>
          <w:rFonts w:hint="eastAsia" w:ascii="宋体" w:hAnsi="宋体" w:eastAsia="宋体" w:cs="宋体"/>
          <w:sz w:val="24"/>
          <w:szCs w:val="24"/>
        </w:rPr>
        <w:t>乙方</w:t>
      </w:r>
      <w:r>
        <w:rPr>
          <w:rFonts w:hint="eastAsia" w:ascii="宋体" w:hAnsi="宋体" w:cs="宋体"/>
          <w:sz w:val="24"/>
          <w:szCs w:val="24"/>
          <w:lang w:val="en-US" w:eastAsia="zh-CN"/>
        </w:rPr>
        <w:t xml:space="preserve"> </w:t>
      </w:r>
      <w:r>
        <w:rPr>
          <w:rFonts w:hint="eastAsia" w:ascii="宋体" w:hAnsi="宋体" w:eastAsia="宋体" w:cs="宋体"/>
          <w:sz w:val="24"/>
          <w:szCs w:val="24"/>
        </w:rPr>
        <w:t>(盖章)：</w:t>
      </w:r>
    </w:p>
    <w:p>
      <w:pPr>
        <w:snapToGrid w:val="0"/>
        <w:spacing w:line="480" w:lineRule="auto"/>
        <w:jc w:val="left"/>
        <w:rPr>
          <w:rFonts w:hint="eastAsia" w:ascii="宋体" w:hAnsi="宋体" w:eastAsia="宋体" w:cs="宋体"/>
          <w:sz w:val="24"/>
          <w:szCs w:val="24"/>
          <w:u w:val="none"/>
        </w:rPr>
      </w:pPr>
      <w:r>
        <w:rPr>
          <w:rStyle w:val="18"/>
          <w:rFonts w:hint="eastAsia" w:ascii="宋体" w:hAnsi="宋体" w:eastAsia="宋体" w:cs="宋体"/>
          <w:b w:val="0"/>
          <w:color w:val="3E3E3E"/>
          <w:sz w:val="28"/>
          <w:szCs w:val="28"/>
          <w:highlight w:val="none"/>
        </w:rPr>
        <w:t>广州市城壹房地产</w:t>
      </w:r>
      <w:r>
        <w:rPr>
          <w:rStyle w:val="18"/>
          <w:rFonts w:hint="eastAsia" w:ascii="宋体" w:hAnsi="宋体" w:eastAsia="宋体" w:cs="宋体"/>
          <w:b w:val="0"/>
          <w:color w:val="3E3E3E"/>
          <w:sz w:val="28"/>
          <w:szCs w:val="28"/>
          <w:highlight w:val="none"/>
          <w:lang w:val="en-US" w:eastAsia="zh-CN"/>
        </w:rPr>
        <w:t>顾问</w:t>
      </w:r>
      <w:r>
        <w:rPr>
          <w:rStyle w:val="18"/>
          <w:rFonts w:hint="eastAsia" w:ascii="宋体" w:hAnsi="宋体" w:eastAsia="宋体" w:cs="宋体"/>
          <w:b w:val="0"/>
          <w:color w:val="3E3E3E"/>
          <w:sz w:val="28"/>
          <w:szCs w:val="28"/>
          <w:highlight w:val="none"/>
        </w:rPr>
        <w:t>有限公司</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p>
    <w:p>
      <w:pPr>
        <w:snapToGrid w:val="0"/>
        <w:spacing w:line="480" w:lineRule="auto"/>
        <w:ind w:left="-1764" w:leftChars="-840" w:firstLine="1920" w:firstLineChars="800"/>
        <w:jc w:val="left"/>
        <w:rPr>
          <w:rFonts w:hint="eastAsia" w:ascii="宋体" w:hAnsi="宋体" w:eastAsia="宋体" w:cs="宋体"/>
          <w:sz w:val="24"/>
          <w:szCs w:val="24"/>
        </w:rPr>
      </w:pPr>
      <w:r>
        <w:rPr>
          <w:rFonts w:hint="eastAsia" w:ascii="宋体" w:hAnsi="宋体" w:cs="宋体"/>
          <w:sz w:val="24"/>
          <w:szCs w:val="24"/>
          <w:lang w:eastAsia="zh-CN"/>
        </w:rPr>
        <w:t>法</w:t>
      </w:r>
      <w:r>
        <w:rPr>
          <w:rFonts w:hint="eastAsia" w:ascii="宋体" w:hAnsi="宋体" w:cs="宋体"/>
          <w:sz w:val="24"/>
          <w:szCs w:val="24"/>
          <w:lang w:val="en-US" w:eastAsia="zh-CN"/>
        </w:rPr>
        <w:t xml:space="preserve"> </w:t>
      </w:r>
      <w:r>
        <w:rPr>
          <w:rFonts w:hint="eastAsia" w:ascii="宋体" w:hAnsi="宋体" w:cs="宋体"/>
          <w:sz w:val="24"/>
          <w:szCs w:val="24"/>
          <w:lang w:eastAsia="zh-CN"/>
        </w:rPr>
        <w:t>人</w:t>
      </w:r>
      <w:r>
        <w:rPr>
          <w:rFonts w:hint="eastAsia" w:ascii="宋体" w:hAnsi="宋体" w:cs="宋体"/>
          <w:sz w:val="24"/>
          <w:szCs w:val="24"/>
          <w:lang w:val="en-US" w:eastAsia="zh-CN"/>
        </w:rPr>
        <w:t xml:space="preserve"> </w:t>
      </w:r>
      <w:r>
        <w:rPr>
          <w:rFonts w:hint="eastAsia" w:ascii="宋体" w:hAnsi="宋体" w:eastAsia="宋体" w:cs="宋体"/>
          <w:sz w:val="24"/>
          <w:szCs w:val="24"/>
        </w:rPr>
        <w:t>代</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表：                       </w:t>
      </w:r>
      <w:r>
        <w:rPr>
          <w:rFonts w:hint="eastAsia" w:ascii="宋体" w:hAnsi="宋体" w:cs="宋体"/>
          <w:sz w:val="24"/>
          <w:szCs w:val="24"/>
          <w:lang w:val="en-US" w:eastAsia="zh-CN"/>
        </w:rPr>
        <w:t>法 人</w:t>
      </w:r>
      <w:r>
        <w:rPr>
          <w:rFonts w:hint="eastAsia" w:ascii="宋体" w:hAnsi="宋体" w:eastAsia="宋体" w:cs="宋体"/>
          <w:sz w:val="24"/>
          <w:szCs w:val="24"/>
        </w:rPr>
        <w:t xml:space="preserve"> 代</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表： </w:t>
      </w:r>
    </w:p>
    <w:p>
      <w:pPr>
        <w:snapToGrid w:val="0"/>
        <w:spacing w:line="480" w:lineRule="auto"/>
        <w:ind w:left="-1764" w:leftChars="-840" w:firstLine="1440" w:firstLineChars="600"/>
        <w:jc w:val="left"/>
        <w:rPr>
          <w:rFonts w:hint="eastAsia" w:ascii="宋体" w:hAnsi="宋体" w:eastAsia="宋体" w:cs="宋体"/>
          <w:sz w:val="24"/>
          <w:szCs w:val="24"/>
          <w:u w:val="none"/>
        </w:rPr>
      </w:pPr>
      <w:r>
        <w:rPr>
          <w:rFonts w:hint="eastAsia" w:ascii="宋体" w:hAnsi="宋体" w:eastAsia="宋体" w:cs="宋体"/>
          <w:sz w:val="24"/>
          <w:szCs w:val="24"/>
        </w:rPr>
        <w:t>签 署 日</w:t>
      </w:r>
      <w:r>
        <w:rPr>
          <w:rFonts w:hint="eastAsia" w:ascii="宋体" w:hAnsi="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none"/>
        </w:rPr>
        <w:t xml:space="preserve">_____年___月___日 </w:t>
      </w:r>
      <w:r>
        <w:rPr>
          <w:rFonts w:hint="eastAsia" w:ascii="宋体" w:hAnsi="宋体" w:eastAsia="宋体" w:cs="宋体"/>
          <w:sz w:val="24"/>
          <w:szCs w:val="24"/>
        </w:rPr>
        <w:t xml:space="preserve">         签 署 日</w:t>
      </w:r>
      <w:r>
        <w:rPr>
          <w:rFonts w:hint="eastAsia" w:ascii="宋体" w:hAnsi="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none"/>
        </w:rPr>
        <w:t>______年___月___日</w:t>
      </w:r>
    </w:p>
    <w:p>
      <w:pPr>
        <w:snapToGrid w:val="0"/>
        <w:spacing w:line="48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附件1：价格清单</w:t>
      </w:r>
    </w:p>
    <w:p>
      <w:pPr>
        <w:snapToGrid w:val="0"/>
        <w:spacing w:line="480" w:lineRule="auto"/>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附件2：廉政协议</w:t>
      </w:r>
    </w:p>
    <w:p>
      <w:pPr>
        <w:tabs>
          <w:tab w:val="left" w:pos="7920"/>
        </w:tabs>
        <w:autoSpaceDE w:val="0"/>
        <w:autoSpaceDN w:val="0"/>
        <w:snapToGrid w:val="0"/>
        <w:spacing w:before="62" w:after="0" w:line="360" w:lineRule="exact"/>
        <w:ind w:left="0" w:firstLine="321" w:firstLineChars="100"/>
        <w:jc w:val="center"/>
        <w:rPr>
          <w:rFonts w:hint="eastAsia" w:ascii="仿宋_GB2312" w:hAnsi="宋体" w:eastAsia="仿宋_GB2312" w:cs="宋体"/>
          <w:b/>
          <w:sz w:val="32"/>
          <w:szCs w:val="32"/>
          <w:lang w:val="en-US" w:eastAsia="zh-CN" w:bidi="ar-SA"/>
        </w:rPr>
      </w:pPr>
    </w:p>
    <w:p>
      <w:pPr>
        <w:tabs>
          <w:tab w:val="left" w:pos="7920"/>
        </w:tabs>
        <w:autoSpaceDE w:val="0"/>
        <w:autoSpaceDN w:val="0"/>
        <w:snapToGrid w:val="0"/>
        <w:spacing w:before="62" w:after="0" w:line="360" w:lineRule="exact"/>
        <w:ind w:left="0" w:firstLine="321" w:firstLineChars="100"/>
        <w:jc w:val="center"/>
        <w:rPr>
          <w:rFonts w:hint="eastAsia" w:ascii="仿宋_GB2312" w:hAnsi="宋体" w:eastAsia="仿宋_GB2312" w:cs="宋体"/>
          <w:b/>
          <w:sz w:val="32"/>
          <w:szCs w:val="32"/>
          <w:lang w:val="en-US" w:eastAsia="zh-CN" w:bidi="ar-SA"/>
        </w:rPr>
      </w:pPr>
    </w:p>
    <w:p>
      <w:pPr>
        <w:tabs>
          <w:tab w:val="left" w:pos="7920"/>
        </w:tabs>
        <w:autoSpaceDE w:val="0"/>
        <w:autoSpaceDN w:val="0"/>
        <w:snapToGrid w:val="0"/>
        <w:spacing w:before="62" w:after="0" w:line="360" w:lineRule="exact"/>
        <w:ind w:left="0" w:firstLine="320" w:firstLineChars="1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廉政协议</w:t>
      </w:r>
    </w:p>
    <w:p>
      <w:pPr>
        <w:tabs>
          <w:tab w:val="left" w:pos="7920"/>
        </w:tabs>
        <w:autoSpaceDE w:val="0"/>
        <w:autoSpaceDN w:val="0"/>
        <w:snapToGrid w:val="0"/>
        <w:spacing w:before="62" w:after="0" w:line="360" w:lineRule="exact"/>
        <w:ind w:left="0" w:firstLine="0"/>
        <w:jc w:val="center"/>
        <w:rPr>
          <w:rFonts w:ascii="宋体" w:hAnsi="宋体" w:eastAsia="宋体"/>
          <w:b/>
          <w:color w:val="000000"/>
          <w:w w:val="100"/>
          <w:sz w:val="32"/>
        </w:rPr>
      </w:pPr>
    </w:p>
    <w:p>
      <w:pPr>
        <w:tabs>
          <w:tab w:val="left" w:pos="7920"/>
        </w:tabs>
        <w:autoSpaceDE w:val="0"/>
        <w:autoSpaceDN w:val="0"/>
        <w:snapToGrid w:val="0"/>
        <w:spacing w:before="62" w:after="0" w:line="360" w:lineRule="exact"/>
        <w:ind w:left="0" w:firstLine="0"/>
        <w:jc w:val="left"/>
        <w:rPr>
          <w:rFonts w:hint="eastAsia" w:ascii="宋体" w:hAnsi="宋体" w:eastAsia="宋体"/>
          <w:color w:val="000000"/>
          <w:w w:val="100"/>
          <w:sz w:val="24"/>
          <w:lang w:eastAsia="zh-CN"/>
        </w:rPr>
      </w:pPr>
    </w:p>
    <w:p>
      <w:pPr>
        <w:tabs>
          <w:tab w:val="left" w:pos="7371"/>
        </w:tabs>
        <w:snapToGrid w:val="0"/>
        <w:spacing w:line="500" w:lineRule="exact"/>
        <w:jc w:val="left"/>
        <w:rPr>
          <w:rStyle w:val="18"/>
          <w:rFonts w:hint="eastAsia" w:ascii="宋体" w:hAnsi="宋体" w:eastAsia="宋体" w:cs="宋体"/>
          <w:b w:val="0"/>
          <w:color w:val="3E3E3E"/>
          <w:sz w:val="28"/>
          <w:szCs w:val="28"/>
          <w:highlight w:val="none"/>
        </w:rPr>
      </w:pPr>
      <w:r>
        <w:rPr>
          <w:rStyle w:val="18"/>
          <w:rFonts w:hint="eastAsia" w:ascii="宋体" w:hAnsi="宋体" w:eastAsia="宋体" w:cs="宋体"/>
          <w:b w:val="0"/>
          <w:color w:val="3E3E3E"/>
          <w:sz w:val="28"/>
          <w:szCs w:val="28"/>
          <w:highlight w:val="none"/>
          <w:lang w:eastAsia="zh-CN"/>
        </w:rPr>
        <w:t>甲方</w:t>
      </w:r>
      <w:r>
        <w:rPr>
          <w:rStyle w:val="18"/>
          <w:rFonts w:hint="eastAsia" w:ascii="宋体" w:hAnsi="宋体" w:eastAsia="宋体" w:cs="宋体"/>
          <w:b w:val="0"/>
          <w:color w:val="3E3E3E"/>
          <w:sz w:val="28"/>
          <w:szCs w:val="28"/>
          <w:highlight w:val="none"/>
        </w:rPr>
        <w:t>:</w:t>
      </w:r>
      <w:r>
        <w:rPr>
          <w:rStyle w:val="18"/>
          <w:rFonts w:hint="eastAsia" w:ascii="宋体" w:hAnsi="宋体" w:eastAsia="宋体" w:cs="宋体"/>
          <w:b w:val="0"/>
          <w:color w:val="3E3E3E"/>
          <w:sz w:val="28"/>
          <w:szCs w:val="28"/>
          <w:highlight w:val="none"/>
          <w:lang w:eastAsia="zh-CN"/>
        </w:rPr>
        <w:t>【广州市城壹房地产顾问有限公司】</w:t>
      </w:r>
    </w:p>
    <w:p>
      <w:pPr>
        <w:tabs>
          <w:tab w:val="left" w:pos="7371"/>
        </w:tabs>
        <w:snapToGrid w:val="0"/>
        <w:spacing w:line="500" w:lineRule="exact"/>
        <w:jc w:val="left"/>
        <w:rPr>
          <w:rFonts w:ascii="宋体" w:hAnsi="宋体" w:eastAsia="宋体"/>
          <w:b/>
          <w:bCs/>
          <w:color w:val="000000"/>
          <w:w w:val="100"/>
          <w:sz w:val="24"/>
        </w:rPr>
      </w:pPr>
      <w:r>
        <w:rPr>
          <w:rStyle w:val="18"/>
          <w:rFonts w:hint="eastAsia" w:ascii="宋体" w:hAnsi="宋体" w:eastAsia="宋体" w:cs="宋体"/>
          <w:b w:val="0"/>
          <w:color w:val="3E3E3E"/>
          <w:sz w:val="28"/>
          <w:szCs w:val="28"/>
          <w:highlight w:val="none"/>
          <w:lang w:eastAsia="zh-CN"/>
        </w:rPr>
        <w:t>乙方:【</w:t>
      </w:r>
      <w:r>
        <w:rPr>
          <w:rStyle w:val="18"/>
          <w:rFonts w:hint="eastAsia" w:ascii="宋体" w:hAnsi="宋体" w:eastAsia="宋体" w:cs="宋体"/>
          <w:b w:val="0"/>
          <w:color w:val="3E3E3E"/>
          <w:sz w:val="28"/>
          <w:szCs w:val="28"/>
          <w:highlight w:val="none"/>
          <w:lang w:val="en-US" w:eastAsia="zh-CN"/>
        </w:rPr>
        <w:t xml:space="preserve">                            </w:t>
      </w:r>
      <w:r>
        <w:rPr>
          <w:rStyle w:val="18"/>
          <w:rFonts w:hint="eastAsia" w:ascii="宋体" w:hAnsi="宋体" w:eastAsia="宋体" w:cs="宋体"/>
          <w:b w:val="0"/>
          <w:color w:val="3E3E3E"/>
          <w:sz w:val="28"/>
          <w:szCs w:val="28"/>
          <w:highlight w:val="none"/>
        </w:rPr>
        <w:t>】</w:t>
      </w:r>
    </w:p>
    <w:p>
      <w:pPr>
        <w:tabs>
          <w:tab w:val="left" w:pos="7920"/>
        </w:tabs>
        <w:autoSpaceDE w:val="0"/>
        <w:autoSpaceDN w:val="0"/>
        <w:snapToGrid w:val="0"/>
        <w:spacing w:before="62" w:after="0" w:line="360" w:lineRule="exact"/>
        <w:ind w:left="0" w:firstLine="0"/>
        <w:jc w:val="left"/>
        <w:rPr>
          <w:rFonts w:ascii="宋体" w:hAnsi="宋体" w:eastAsia="宋体"/>
          <w:color w:val="000000"/>
          <w:w w:val="100"/>
          <w:sz w:val="24"/>
          <w:shd w:val="pct10" w:color="000000" w:fill="FFFFFF"/>
        </w:rPr>
      </w:pPr>
    </w:p>
    <w:p>
      <w:pPr>
        <w:tabs>
          <w:tab w:val="left" w:pos="7920"/>
        </w:tabs>
        <w:autoSpaceDE w:val="0"/>
        <w:autoSpaceDN w:val="0"/>
        <w:snapToGrid w:val="0"/>
        <w:spacing w:before="62" w:after="0" w:line="360" w:lineRule="exact"/>
        <w:ind w:left="0" w:firstLine="0"/>
        <w:jc w:val="left"/>
        <w:rPr>
          <w:rFonts w:ascii="宋体" w:hAnsi="宋体" w:eastAsia="宋体"/>
          <w:color w:val="000000"/>
          <w:w w:val="100"/>
          <w:sz w:val="21"/>
          <w:szCs w:val="21"/>
          <w:shd w:val="pct10" w:color="000000" w:fill="FFFFFF"/>
        </w:rPr>
      </w:pPr>
      <w:r>
        <w:rPr>
          <w:rFonts w:hint="eastAsia" w:ascii="宋体" w:hAnsi="宋体" w:eastAsia="宋体"/>
          <w:color w:val="000000"/>
          <w:w w:val="100"/>
          <w:sz w:val="24"/>
          <w:lang w:eastAsia="zh-CN"/>
        </w:rPr>
        <w:t xml:space="preserve">    </w:t>
      </w:r>
      <w:r>
        <w:rPr>
          <w:rFonts w:hint="eastAsia" w:ascii="宋体" w:hAnsi="宋体" w:eastAsia="宋体" w:cs="宋体"/>
          <w:sz w:val="24"/>
          <w:szCs w:val="24"/>
          <w:lang w:eastAsia="zh-CN"/>
        </w:rPr>
        <w:t>鉴于协议双方已签订【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以下简称“合同”），根据中华人民共和国法律法规及各行政机关有关廉政建设的规定，做好合同履行中的廉政建设，保证合同履行质量，提高资金的有效使用和投资效益，双方就廉政建设相关事宜订立廉政协议，以供遵照执行。本廉政协议不受双方业务合同变更、解除或终止无效的影响，始终有效。</w:t>
      </w:r>
    </w:p>
    <w:p>
      <w:pPr>
        <w:numPr>
          <w:ilvl w:val="0"/>
          <w:numId w:val="5"/>
        </w:numPr>
        <w:tabs>
          <w:tab w:val="left" w:pos="540"/>
        </w:tabs>
        <w:autoSpaceDE w:val="0"/>
        <w:autoSpaceDN w:val="0"/>
        <w:snapToGrid w:val="0"/>
        <w:spacing w:before="62" w:after="0" w:line="240" w:lineRule="auto"/>
        <w:ind w:left="425" w:hanging="425"/>
        <w:jc w:val="left"/>
        <w:rPr>
          <w:rFonts w:ascii="宋体" w:hAnsi="宋体" w:eastAsia="宋体"/>
          <w:b/>
          <w:color w:val="000000"/>
          <w:w w:val="100"/>
          <w:sz w:val="24"/>
        </w:rPr>
      </w:pPr>
      <w:r>
        <w:rPr>
          <w:rFonts w:hint="eastAsia" w:ascii="宋体" w:hAnsi="宋体" w:eastAsia="宋体"/>
          <w:b/>
          <w:color w:val="000000"/>
          <w:w w:val="100"/>
          <w:sz w:val="24"/>
          <w:lang w:eastAsia="zh-CN"/>
        </w:rPr>
        <w:t>廉政规定</w:t>
      </w:r>
    </w:p>
    <w:p>
      <w:pPr>
        <w:numPr>
          <w:ilvl w:val="1"/>
          <w:numId w:val="6"/>
        </w:numPr>
        <w:autoSpaceDE w:val="0"/>
        <w:autoSpaceDN w:val="0"/>
        <w:snapToGrid w:val="0"/>
        <w:spacing w:before="62" w:after="0" w:line="240" w:lineRule="auto"/>
        <w:ind w:left="992" w:hanging="567"/>
        <w:jc w:val="left"/>
        <w:rPr>
          <w:rFonts w:ascii="宋体" w:hAnsi="宋体" w:eastAsia="宋体"/>
          <w:color w:val="000000"/>
          <w:w w:val="100"/>
          <w:sz w:val="21"/>
          <w:szCs w:val="21"/>
        </w:rPr>
      </w:pPr>
      <w:r>
        <w:rPr>
          <w:rFonts w:hint="eastAsia" w:ascii="宋体" w:hAnsi="宋体" w:eastAsia="宋体" w:cs="宋体"/>
          <w:sz w:val="24"/>
          <w:szCs w:val="24"/>
          <w:lang w:eastAsia="zh-CN"/>
        </w:rPr>
        <w:t>双方应严格遵守国家、省、所在地区有关廉政方面法律法规的规定。</w:t>
      </w:r>
    </w:p>
    <w:p>
      <w:pPr>
        <w:numPr>
          <w:ilvl w:val="1"/>
          <w:numId w:val="6"/>
        </w:numPr>
        <w:autoSpaceDE w:val="0"/>
        <w:autoSpaceDN w:val="0"/>
        <w:snapToGrid w:val="0"/>
        <w:spacing w:before="62" w:after="0" w:line="240" w:lineRule="auto"/>
        <w:ind w:left="992" w:hanging="567"/>
        <w:jc w:val="left"/>
        <w:rPr>
          <w:rFonts w:ascii="宋体" w:hAnsi="宋体" w:eastAsia="宋体"/>
          <w:color w:val="000000"/>
          <w:w w:val="100"/>
          <w:sz w:val="21"/>
          <w:szCs w:val="21"/>
        </w:rPr>
      </w:pPr>
      <w:r>
        <w:rPr>
          <w:rFonts w:hint="eastAsia" w:ascii="宋体" w:hAnsi="宋体" w:eastAsia="宋体" w:cs="宋体"/>
          <w:sz w:val="24"/>
          <w:szCs w:val="24"/>
          <w:lang w:eastAsia="zh-CN"/>
        </w:rPr>
        <w:t>双方应严格执行招标文件、竞价文件以及合同文件的内容，根据约定履行相关义务。</w:t>
      </w:r>
    </w:p>
    <w:p>
      <w:pPr>
        <w:numPr>
          <w:ilvl w:val="1"/>
          <w:numId w:val="6"/>
        </w:numPr>
        <w:autoSpaceDE w:val="0"/>
        <w:autoSpaceDN w:val="0"/>
        <w:snapToGrid w:val="0"/>
        <w:spacing w:before="62" w:after="0" w:line="240" w:lineRule="auto"/>
        <w:ind w:left="992" w:hanging="567"/>
        <w:jc w:val="left"/>
        <w:rPr>
          <w:rFonts w:ascii="宋体" w:hAnsi="宋体" w:eastAsia="宋体"/>
          <w:color w:val="000000"/>
          <w:w w:val="100"/>
          <w:sz w:val="21"/>
          <w:szCs w:val="21"/>
        </w:rPr>
      </w:pPr>
      <w:r>
        <w:rPr>
          <w:rFonts w:hint="eastAsia" w:ascii="宋体" w:hAnsi="宋体" w:eastAsia="宋体" w:cs="宋体"/>
          <w:sz w:val="24"/>
          <w:szCs w:val="24"/>
          <w:lang w:eastAsia="zh-CN"/>
        </w:rPr>
        <w:t>合同双方当事人的业务活动应坚持公平、公开、公正和诚信的原则(法律认定的商业秘密和合同另有约定除外)，不得损害国家、集体和合同双方的利益，不得违反项目管理规章制度。</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建立健全廉政制度，开展廉政教育，设立廉政告示牌，公布举报电话，监督并认真查处违法违纪行为。</w:t>
      </w:r>
    </w:p>
    <w:p>
      <w:pPr>
        <w:numPr>
          <w:ilvl w:val="1"/>
          <w:numId w:val="6"/>
        </w:numPr>
        <w:autoSpaceDE w:val="0"/>
        <w:autoSpaceDN w:val="0"/>
        <w:snapToGrid w:val="0"/>
        <w:spacing w:before="62" w:after="0" w:line="240" w:lineRule="auto"/>
        <w:ind w:left="992" w:hanging="567"/>
        <w:jc w:val="left"/>
        <w:rPr>
          <w:rFonts w:ascii="宋体" w:hAnsi="宋体" w:eastAsia="宋体"/>
          <w:color w:val="000000"/>
          <w:w w:val="100"/>
          <w:sz w:val="21"/>
          <w:szCs w:val="21"/>
        </w:rPr>
      </w:pPr>
      <w:r>
        <w:rPr>
          <w:rFonts w:hint="eastAsia" w:ascii="宋体" w:hAnsi="宋体" w:eastAsia="宋体" w:cs="宋体"/>
          <w:sz w:val="24"/>
          <w:szCs w:val="24"/>
          <w:lang w:eastAsia="zh-CN"/>
        </w:rPr>
        <w:t>发现对方在业务活动中有违反廉政建设规定的行为，应及时给予提醒和纠正。</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发现对方严重违反协议、违规、违纪、违法等行为，有向甲方廉政监督部门举报、建议并要求告知处理结果的权利。</w:t>
      </w:r>
    </w:p>
    <w:p>
      <w:pPr>
        <w:numPr>
          <w:ilvl w:val="0"/>
          <w:numId w:val="7"/>
        </w:numPr>
        <w:tabs>
          <w:tab w:val="left" w:pos="540"/>
        </w:tabs>
        <w:autoSpaceDE w:val="0"/>
        <w:autoSpaceDN w:val="0"/>
        <w:snapToGrid w:val="0"/>
        <w:spacing w:before="62" w:after="0" w:line="240" w:lineRule="auto"/>
        <w:ind w:left="425" w:hanging="425"/>
        <w:jc w:val="left"/>
        <w:rPr>
          <w:rFonts w:ascii="宋体" w:hAnsi="宋体" w:eastAsia="宋体"/>
          <w:b/>
          <w:color w:val="000000"/>
          <w:w w:val="100"/>
          <w:sz w:val="24"/>
        </w:rPr>
      </w:pPr>
      <w:r>
        <w:rPr>
          <w:rFonts w:hint="eastAsia" w:ascii="宋体" w:hAnsi="宋体" w:eastAsia="宋体"/>
          <w:b/>
          <w:color w:val="000000"/>
          <w:w w:val="100"/>
          <w:sz w:val="24"/>
          <w:lang w:eastAsia="zh-CN"/>
        </w:rPr>
        <w:t>甲方权利义务</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及其工作人员（含甲方聘请的与合同履行相关的第三方单位人员，下同）不得索取或接受乙方的礼金、有价证券和贵重物品，不得利用业务之便向乙方索要回扣，不得在乙方报销任何应由甲方或其工作人员个人支付的费用，不得以任何名义向乙方借钱、借物。</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甲方及其工作人员不得参加乙方安排的宴请(工作餐除外)和娱乐活动，不得接受乙方提供的通讯、交通工具和高档办公用品等物品。</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甲方及其工作人员不得要求或者接受乙方为其住房装修、婚丧嫁娶活动、配偶子女工作升学安排以及出国出境、旅游等提供方便。</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甲方及其工作人员不得以任何理由向乙方推销材料、设备及劳务，不得要求乙方购买合同以外的材料和设备。</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甲方及其工作人员要秉公办事，不准营私舞弊，不得利用职权私自为合同安排服务队伍，也不得从事与合同服务有关的各种有偿中介活动。</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甲方及其工作人员(含其配偶、子女)不得从事与合同项目有关的材料和设备供应、分包、劳务等经济活动。</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甲方与乙方发生业务往来过程中，不得有弄虚作假、以次充好、虚结虚算等违反诚信原则的行为。</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甲方发现乙方人员在业务活动中有违法违规或违反廉政协议规定行为的，及时要求乙方采取措施制止该不廉洁行为；情节严重的，应向上级主管部门或纪检监察、司法等有关机关举报。</w:t>
      </w:r>
    </w:p>
    <w:p>
      <w:pPr>
        <w:numPr>
          <w:ilvl w:val="1"/>
          <w:numId w:val="6"/>
        </w:numPr>
        <w:autoSpaceDE w:val="0"/>
        <w:autoSpaceDN w:val="0"/>
        <w:snapToGrid w:val="0"/>
        <w:spacing w:before="62" w:after="0" w:line="240" w:lineRule="auto"/>
        <w:ind w:left="992" w:hanging="567"/>
        <w:jc w:val="left"/>
        <w:rPr>
          <w:rFonts w:ascii="宋体" w:hAnsi="宋体" w:eastAsia="宋体"/>
          <w:color w:val="000000"/>
          <w:w w:val="100"/>
          <w:sz w:val="21"/>
          <w:szCs w:val="21"/>
        </w:rPr>
      </w:pPr>
      <w:r>
        <w:rPr>
          <w:rFonts w:hint="eastAsia" w:ascii="宋体" w:hAnsi="宋体" w:eastAsia="宋体" w:cs="宋体"/>
          <w:sz w:val="24"/>
          <w:szCs w:val="24"/>
          <w:lang w:eastAsia="zh-CN"/>
        </w:rPr>
        <w:t>甲方有权根据乙方对廉政协议的执行情况，决定是否给予乙方参与甲方后续项目合作的权利或者工程项目的投标评分等。</w:t>
      </w:r>
    </w:p>
    <w:p>
      <w:pPr>
        <w:numPr>
          <w:ilvl w:val="0"/>
          <w:numId w:val="8"/>
        </w:numPr>
        <w:tabs>
          <w:tab w:val="left" w:pos="540"/>
        </w:tabs>
        <w:autoSpaceDE w:val="0"/>
        <w:autoSpaceDN w:val="0"/>
        <w:snapToGrid w:val="0"/>
        <w:spacing w:before="62" w:after="0" w:line="240" w:lineRule="auto"/>
        <w:ind w:left="425" w:hanging="425"/>
        <w:jc w:val="left"/>
        <w:rPr>
          <w:rFonts w:ascii="宋体" w:hAnsi="宋体" w:eastAsia="宋体"/>
          <w:b/>
          <w:color w:val="000000"/>
          <w:w w:val="100"/>
          <w:sz w:val="24"/>
        </w:rPr>
      </w:pPr>
      <w:r>
        <w:rPr>
          <w:rFonts w:hint="eastAsia" w:ascii="宋体" w:hAnsi="宋体" w:eastAsia="宋体"/>
          <w:b/>
          <w:color w:val="000000"/>
          <w:w w:val="100"/>
          <w:sz w:val="24"/>
          <w:lang w:eastAsia="zh-CN"/>
        </w:rPr>
        <w:t>乙方权利义务</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乙方不得以任何理由向甲方及其工作人员行贿、馈赠或出借金钱、有价证券、贵重物品等。</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乙方不得以任何名义为甲方及其工作人员报销应由甲方或其工作人员个人支付的任何费用。</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乙方不得以任何理由安排甲方及其工作人员参加宴请(工作餐除外)及娱乐活动。</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乙方不得为甲方和个人购置或提供通讯、交通工具和高档办公用品等物品。</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乙方不得为甲方及其工作人员的住房装修、婚丧嫁娶活动、配偶子女工作升学安排以及出国出境、旅游等提供方便。</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乙方不得就合同的签订或履行向任何第三方索取或接受礼金、有价证券、贵重物品。</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乙方与甲方业务往来过程中，不得有弄虚作假、以次充好、虚结虚算等违反诚信原则的行为。</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乙方在合同履行过程中发现甲方人员有不廉洁行为的，应及时采取措施，积极有效地制止其不廉洁行为的发生，并及时告知甲方单位主管领导。</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任何人员向甲方人员行贿（或采取不正当手段拉拢甲方人员）的，或甲方人员向乙方索贿（或提出不正当要求），乙方满足其要求且未向甲方举报的，或乙方有其他违反廉政协议的行为的，一经查实，甲方有权拒绝支付根据双方业务合同约定应付的任何款项，并有权要求乙方承担双方业务合同总金额20%的违约金，同时有权单方中止或解除双方签订的所有业务合同，且不承担任何责任；由此给甲方造成的一切损失，乙方应予以赔偿。</w:t>
      </w:r>
    </w:p>
    <w:p>
      <w:pPr>
        <w:numPr>
          <w:ilvl w:val="0"/>
          <w:numId w:val="9"/>
        </w:numPr>
        <w:tabs>
          <w:tab w:val="left" w:pos="540"/>
        </w:tabs>
        <w:autoSpaceDE w:val="0"/>
        <w:autoSpaceDN w:val="0"/>
        <w:snapToGrid w:val="0"/>
        <w:spacing w:before="62" w:after="0" w:line="240" w:lineRule="auto"/>
        <w:ind w:left="425" w:hanging="425"/>
        <w:jc w:val="left"/>
        <w:rPr>
          <w:rFonts w:ascii="宋体" w:hAnsi="宋体" w:eastAsia="宋体"/>
          <w:b/>
          <w:color w:val="000000"/>
          <w:w w:val="100"/>
          <w:sz w:val="24"/>
        </w:rPr>
      </w:pPr>
      <w:r>
        <w:rPr>
          <w:rFonts w:hint="eastAsia" w:ascii="宋体" w:hAnsi="宋体" w:eastAsia="宋体"/>
          <w:b/>
          <w:color w:val="000000"/>
          <w:w w:val="100"/>
          <w:sz w:val="24"/>
          <w:lang w:eastAsia="zh-CN"/>
        </w:rPr>
        <w:t>违约责任</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甲方及其工作人员违反廉政协议廉政约定，乙方应在24小时内向甲方廉政监督部门举报，由甲方按照廉政建设的有关规定由有权部门给予相应处分；涉嫌犯罪的，应当移交司法机关追究刑事责任并赔偿由此给乙方造成的一切损失。</w:t>
      </w:r>
    </w:p>
    <w:p>
      <w:pPr>
        <w:numPr>
          <w:ilvl w:val="1"/>
          <w:numId w:val="6"/>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乙方及其工作人员违反廉政协议廉政约定的：</w:t>
      </w:r>
    </w:p>
    <w:p>
      <w:pPr>
        <w:autoSpaceDE w:val="0"/>
        <w:autoSpaceDN w:val="0"/>
        <w:snapToGrid w:val="0"/>
        <w:spacing w:before="62" w:after="0" w:line="240" w:lineRule="auto"/>
        <w:ind w:left="992" w:firstLine="0"/>
        <w:jc w:val="left"/>
        <w:rPr>
          <w:rFonts w:hint="eastAsia" w:ascii="宋体" w:hAnsi="宋体" w:eastAsia="宋体" w:cs="宋体"/>
          <w:sz w:val="24"/>
          <w:szCs w:val="24"/>
          <w:lang w:eastAsia="zh-CN"/>
        </w:rPr>
      </w:pPr>
      <w:r>
        <w:rPr>
          <w:rFonts w:ascii="宋体" w:hAnsi="宋体" w:eastAsia="宋体"/>
          <w:color w:val="000000"/>
          <w:w w:val="100"/>
          <w:sz w:val="24"/>
        </w:rPr>
        <w:t>4.2.1</w:t>
      </w:r>
      <w:r>
        <w:rPr>
          <w:rFonts w:hint="eastAsia" w:ascii="宋体" w:hAnsi="宋体" w:eastAsia="宋体" w:cs="宋体"/>
          <w:sz w:val="24"/>
          <w:szCs w:val="24"/>
          <w:lang w:eastAsia="zh-CN"/>
        </w:rPr>
        <w:t>视为乙方严重违约，甲方有权解除合同，并根据合同的相关约定追究乙方的违约责任。</w:t>
      </w:r>
    </w:p>
    <w:p>
      <w:pPr>
        <w:autoSpaceDE w:val="0"/>
        <w:autoSpaceDN w:val="0"/>
        <w:snapToGrid w:val="0"/>
        <w:spacing w:before="62" w:after="0" w:line="240" w:lineRule="auto"/>
        <w:ind w:left="992" w:firstLine="0"/>
        <w:jc w:val="left"/>
        <w:rPr>
          <w:rFonts w:ascii="宋体" w:hAnsi="宋体" w:eastAsia="宋体"/>
          <w:color w:val="000000"/>
          <w:w w:val="100"/>
          <w:sz w:val="24"/>
        </w:rPr>
      </w:pPr>
      <w:r>
        <w:rPr>
          <w:rFonts w:ascii="宋体" w:hAnsi="宋体" w:eastAsia="宋体"/>
          <w:color w:val="000000"/>
          <w:w w:val="100"/>
          <w:sz w:val="24"/>
        </w:rPr>
        <w:t>4.2.2</w:t>
      </w:r>
      <w:r>
        <w:rPr>
          <w:rFonts w:hint="eastAsia" w:ascii="宋体" w:hAnsi="宋体" w:eastAsia="宋体" w:cs="宋体"/>
          <w:sz w:val="24"/>
          <w:szCs w:val="24"/>
          <w:lang w:eastAsia="zh-CN"/>
        </w:rPr>
        <w:t>甲方将乙方从合作单位库内移出，并不得再以任何理由列入合作单位。</w:t>
      </w:r>
    </w:p>
    <w:p>
      <w:pPr>
        <w:autoSpaceDE w:val="0"/>
        <w:autoSpaceDN w:val="0"/>
        <w:snapToGrid w:val="0"/>
        <w:spacing w:before="62" w:after="0" w:line="240" w:lineRule="auto"/>
        <w:ind w:left="992" w:firstLine="0"/>
        <w:jc w:val="left"/>
        <w:rPr>
          <w:rFonts w:ascii="宋体" w:hAnsi="宋体" w:eastAsia="宋体"/>
          <w:color w:val="000000"/>
          <w:w w:val="100"/>
          <w:sz w:val="24"/>
        </w:rPr>
      </w:pPr>
      <w:r>
        <w:rPr>
          <w:rFonts w:ascii="宋体" w:hAnsi="宋体" w:eastAsia="宋体"/>
          <w:color w:val="000000"/>
          <w:w w:val="100"/>
          <w:sz w:val="24"/>
        </w:rPr>
        <w:t>4.2.3</w:t>
      </w:r>
      <w:r>
        <w:rPr>
          <w:rFonts w:hint="eastAsia" w:ascii="宋体" w:hAnsi="宋体" w:eastAsia="宋体" w:cs="宋体"/>
          <w:sz w:val="24"/>
          <w:szCs w:val="24"/>
          <w:lang w:eastAsia="zh-CN"/>
        </w:rPr>
        <w:t>涉嫌犯罪的，甲方将移交司法机关追究相关人员的刑事责任。</w:t>
      </w:r>
    </w:p>
    <w:p>
      <w:pPr>
        <w:autoSpaceDE w:val="0"/>
        <w:autoSpaceDN w:val="0"/>
        <w:snapToGrid w:val="0"/>
        <w:spacing w:before="62" w:after="0" w:line="240" w:lineRule="auto"/>
        <w:ind w:left="992" w:firstLine="0"/>
        <w:jc w:val="left"/>
        <w:rPr>
          <w:rFonts w:hint="eastAsia" w:ascii="宋体" w:hAnsi="宋体" w:eastAsia="宋体" w:cs="宋体"/>
          <w:sz w:val="24"/>
          <w:szCs w:val="24"/>
          <w:lang w:eastAsia="zh-CN"/>
        </w:rPr>
      </w:pPr>
      <w:r>
        <w:rPr>
          <w:rFonts w:ascii="宋体" w:hAnsi="宋体" w:eastAsia="宋体"/>
          <w:color w:val="000000"/>
          <w:w w:val="100"/>
          <w:sz w:val="24"/>
        </w:rPr>
        <w:t xml:space="preserve">4.2.4 </w:t>
      </w:r>
      <w:r>
        <w:rPr>
          <w:rFonts w:hint="eastAsia" w:ascii="宋体" w:hAnsi="宋体" w:eastAsia="宋体" w:cs="宋体"/>
          <w:sz w:val="24"/>
          <w:szCs w:val="24"/>
          <w:lang w:eastAsia="zh-CN"/>
        </w:rPr>
        <w:t>如造成甲方经济损失的，甲方有权要求乙方赔偿相应损失，并追究乙方相关法律责任。</w:t>
      </w:r>
    </w:p>
    <w:p>
      <w:pPr>
        <w:autoSpaceDE w:val="0"/>
        <w:autoSpaceDN w:val="0"/>
        <w:snapToGrid w:val="0"/>
        <w:spacing w:before="62" w:after="0" w:line="240" w:lineRule="auto"/>
        <w:ind w:left="992" w:firstLine="0"/>
        <w:jc w:val="left"/>
        <w:rPr>
          <w:rFonts w:ascii="宋体" w:hAnsi="宋体" w:eastAsia="宋体"/>
          <w:color w:val="000000"/>
          <w:w w:val="100"/>
          <w:sz w:val="24"/>
        </w:rPr>
      </w:pPr>
    </w:p>
    <w:p>
      <w:pPr>
        <w:numPr>
          <w:ilvl w:val="0"/>
          <w:numId w:val="10"/>
        </w:numPr>
        <w:tabs>
          <w:tab w:val="left" w:pos="540"/>
        </w:tabs>
        <w:autoSpaceDE w:val="0"/>
        <w:autoSpaceDN w:val="0"/>
        <w:snapToGrid w:val="0"/>
        <w:spacing w:before="62" w:after="0" w:line="240" w:lineRule="auto"/>
        <w:ind w:left="425" w:hanging="425"/>
        <w:jc w:val="left"/>
        <w:rPr>
          <w:rFonts w:ascii="宋体" w:hAnsi="宋体" w:eastAsia="宋体"/>
          <w:b/>
          <w:color w:val="000000"/>
          <w:w w:val="100"/>
          <w:sz w:val="24"/>
        </w:rPr>
      </w:pPr>
      <w:r>
        <w:rPr>
          <w:rFonts w:hint="eastAsia" w:ascii="宋体" w:hAnsi="宋体" w:eastAsia="宋体"/>
          <w:b/>
          <w:color w:val="000000"/>
          <w:w w:val="100"/>
          <w:sz w:val="24"/>
          <w:lang w:eastAsia="zh-CN"/>
        </w:rPr>
        <w:t>监督与申诉</w:t>
      </w:r>
    </w:p>
    <w:p>
      <w:pPr>
        <w:numPr>
          <w:ilvl w:val="1"/>
          <w:numId w:val="11"/>
        </w:numPr>
        <w:autoSpaceDE w:val="0"/>
        <w:autoSpaceDN w:val="0"/>
        <w:snapToGrid w:val="0"/>
        <w:spacing w:before="62" w:after="0" w:line="240" w:lineRule="auto"/>
        <w:ind w:left="992" w:hanging="567"/>
        <w:jc w:val="left"/>
        <w:rPr>
          <w:rFonts w:ascii="宋体" w:hAnsi="宋体" w:eastAsia="宋体"/>
          <w:color w:val="000000"/>
          <w:w w:val="100"/>
          <w:sz w:val="21"/>
          <w:szCs w:val="21"/>
        </w:rPr>
      </w:pPr>
      <w:r>
        <w:rPr>
          <w:rFonts w:hint="eastAsia" w:ascii="宋体" w:hAnsi="宋体" w:eastAsia="宋体" w:cs="宋体"/>
          <w:sz w:val="24"/>
          <w:szCs w:val="24"/>
          <w:lang w:eastAsia="zh-CN"/>
        </w:rPr>
        <w:t>廉政协议由合同双方当事人或相关主管部门负责监督执行。合同双方当事人或相关主管部门可以相互约请对廉政协议执行情况进行检查。</w:t>
      </w:r>
    </w:p>
    <w:p>
      <w:pPr>
        <w:autoSpaceDE/>
        <w:autoSpaceDN/>
        <w:snapToGrid/>
        <w:spacing w:before="0" w:after="0" w:line="240" w:lineRule="auto"/>
        <w:ind w:left="0" w:firstLine="0"/>
        <w:jc w:val="both"/>
        <w:rPr>
          <w:rFonts w:ascii="宋体" w:hAnsi="宋体" w:eastAsia="宋体"/>
          <w:color w:val="000000"/>
          <w:w w:val="100"/>
          <w:sz w:val="21"/>
          <w:szCs w:val="21"/>
        </w:rPr>
      </w:pPr>
      <w:r>
        <w:rPr>
          <w:rFonts w:hint="eastAsia" w:ascii="宋体" w:hAnsi="宋体" w:eastAsia="宋体" w:cs="宋体"/>
          <w:sz w:val="24"/>
          <w:szCs w:val="24"/>
          <w:lang w:eastAsia="zh-CN"/>
        </w:rPr>
        <w:t>甲方及其工作人员违反廉政协议相关规定的，可向甲方廉政主管部门举报。申诉电话</w:t>
      </w:r>
      <w:r>
        <w:rPr>
          <w:rFonts w:hint="eastAsia" w:ascii="宋体" w:hAnsi="宋体" w:eastAsia="宋体"/>
          <w:color w:val="000000"/>
          <w:w w:val="100"/>
          <w:sz w:val="21"/>
          <w:szCs w:val="21"/>
          <w:lang w:eastAsia="zh-CN"/>
        </w:rPr>
        <w:t>：【</w:t>
      </w:r>
      <w:r>
        <w:rPr>
          <w:rFonts w:hint="eastAsia" w:ascii="宋体" w:hAnsi="宋体" w:eastAsia="宋体"/>
          <w:color w:val="000000"/>
          <w:w w:val="100"/>
          <w:sz w:val="21"/>
          <w:szCs w:val="21"/>
          <w:lang w:val="en-US" w:eastAsia="zh-CN"/>
        </w:rPr>
        <w:t xml:space="preserve">      </w:t>
      </w:r>
      <w:r>
        <w:rPr>
          <w:rFonts w:hint="eastAsia" w:ascii="宋体" w:hAnsi="宋体" w:eastAsia="宋体"/>
          <w:w w:val="100"/>
          <w:sz w:val="21"/>
          <w:szCs w:val="21"/>
          <w:lang w:eastAsia="zh-CN"/>
        </w:rPr>
        <w:t>】</w:t>
      </w:r>
      <w:r>
        <w:rPr>
          <w:rFonts w:hint="eastAsia" w:ascii="宋体" w:hAnsi="宋体" w:eastAsia="宋体"/>
          <w:color w:val="000000"/>
          <w:w w:val="100"/>
          <w:sz w:val="21"/>
          <w:szCs w:val="21"/>
          <w:lang w:eastAsia="zh-CN"/>
        </w:rPr>
        <w:t>。</w:t>
      </w:r>
    </w:p>
    <w:p>
      <w:pPr>
        <w:numPr>
          <w:ilvl w:val="1"/>
          <w:numId w:val="11"/>
        </w:numPr>
        <w:autoSpaceDE w:val="0"/>
        <w:autoSpaceDN w:val="0"/>
        <w:snapToGrid w:val="0"/>
        <w:spacing w:before="62" w:after="0" w:line="240" w:lineRule="auto"/>
        <w:ind w:left="992" w:hanging="567"/>
        <w:jc w:val="left"/>
        <w:rPr>
          <w:rFonts w:ascii="宋体" w:hAnsi="宋体" w:eastAsia="宋体"/>
          <w:color w:val="000000"/>
          <w:w w:val="100"/>
          <w:sz w:val="21"/>
          <w:szCs w:val="21"/>
        </w:rPr>
      </w:pPr>
      <w:r>
        <w:rPr>
          <w:rFonts w:hint="eastAsia" w:ascii="宋体" w:hAnsi="宋体" w:eastAsia="宋体" w:cs="宋体"/>
          <w:sz w:val="24"/>
          <w:szCs w:val="24"/>
          <w:lang w:eastAsia="zh-CN"/>
        </w:rPr>
        <w:t>乙方及其工作人员违反廉政协议相关规定的，可向乙方有关部门申诉，并告知甲方。申诉电话</w:t>
      </w:r>
      <w:r>
        <w:rPr>
          <w:rFonts w:hint="eastAsia" w:ascii="宋体" w:hAnsi="宋体" w:eastAsia="宋体"/>
          <w:color w:val="000000"/>
          <w:w w:val="100"/>
          <w:sz w:val="21"/>
          <w:szCs w:val="21"/>
          <w:lang w:eastAsia="zh-CN"/>
        </w:rPr>
        <w:t>：【</w:t>
      </w:r>
      <w:r>
        <w:rPr>
          <w:rFonts w:hint="eastAsia" w:ascii="宋体" w:hAnsi="宋体" w:eastAsia="宋体"/>
          <w:color w:val="000000"/>
          <w:w w:val="100"/>
          <w:sz w:val="21"/>
          <w:szCs w:val="21"/>
          <w:lang w:val="en-US" w:eastAsia="zh-CN"/>
        </w:rPr>
        <w:t xml:space="preserve">    </w:t>
      </w:r>
      <w:r>
        <w:rPr>
          <w:rFonts w:hint="eastAsia" w:ascii="宋体" w:hAnsi="宋体" w:eastAsia="宋体"/>
          <w:color w:val="000000"/>
          <w:w w:val="100"/>
          <w:sz w:val="21"/>
          <w:szCs w:val="21"/>
          <w:highlight w:val="none"/>
          <w:lang w:eastAsia="zh-CN"/>
        </w:rPr>
        <w:t xml:space="preserve"> </w:t>
      </w:r>
      <w:r>
        <w:rPr>
          <w:rFonts w:hint="eastAsia" w:ascii="宋体" w:hAnsi="宋体" w:eastAsia="宋体"/>
          <w:w w:val="100"/>
          <w:sz w:val="21"/>
          <w:szCs w:val="21"/>
          <w:lang w:eastAsia="zh-CN"/>
        </w:rPr>
        <w:t>】</w:t>
      </w:r>
      <w:r>
        <w:rPr>
          <w:rFonts w:hint="eastAsia" w:ascii="宋体" w:hAnsi="宋体" w:eastAsia="宋体"/>
          <w:color w:val="000000"/>
          <w:w w:val="100"/>
          <w:sz w:val="21"/>
          <w:szCs w:val="21"/>
          <w:lang w:eastAsia="zh-CN"/>
        </w:rPr>
        <w:t>。</w:t>
      </w:r>
    </w:p>
    <w:p>
      <w:pPr>
        <w:numPr>
          <w:ilvl w:val="0"/>
          <w:numId w:val="12"/>
        </w:numPr>
        <w:tabs>
          <w:tab w:val="left" w:pos="540"/>
        </w:tabs>
        <w:autoSpaceDE w:val="0"/>
        <w:autoSpaceDN w:val="0"/>
        <w:snapToGrid w:val="0"/>
        <w:spacing w:before="62" w:after="0" w:line="240" w:lineRule="auto"/>
        <w:ind w:left="425" w:hanging="425"/>
        <w:jc w:val="left"/>
        <w:rPr>
          <w:rFonts w:ascii="宋体" w:hAnsi="宋体" w:eastAsia="宋体"/>
          <w:b/>
          <w:color w:val="000000"/>
          <w:w w:val="100"/>
          <w:sz w:val="24"/>
        </w:rPr>
      </w:pPr>
      <w:r>
        <w:rPr>
          <w:rFonts w:hint="eastAsia" w:ascii="宋体" w:hAnsi="宋体" w:eastAsia="宋体"/>
          <w:b/>
          <w:color w:val="000000"/>
          <w:w w:val="100"/>
          <w:sz w:val="24"/>
          <w:lang w:eastAsia="zh-CN"/>
        </w:rPr>
        <w:t>其他</w:t>
      </w:r>
    </w:p>
    <w:p>
      <w:pPr>
        <w:numPr>
          <w:ilvl w:val="1"/>
          <w:numId w:val="11"/>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廉政协议作为合同的附件，与合同具有同等法律效力。</w:t>
      </w:r>
    </w:p>
    <w:p>
      <w:pPr>
        <w:numPr>
          <w:ilvl w:val="1"/>
          <w:numId w:val="11"/>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廉政协议自双方签字盖章之日起生效。</w:t>
      </w:r>
    </w:p>
    <w:p>
      <w:pPr>
        <w:numPr>
          <w:ilvl w:val="1"/>
          <w:numId w:val="11"/>
        </w:numPr>
        <w:autoSpaceDE w:val="0"/>
        <w:autoSpaceDN w:val="0"/>
        <w:snapToGrid w:val="0"/>
        <w:spacing w:before="62" w:after="0" w:line="240" w:lineRule="auto"/>
        <w:ind w:left="992" w:hanging="567"/>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廉政协议一式【</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】份，其中甲方执【</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】份，乙方执【1】份，各份均具有同等法律效力。</w:t>
      </w:r>
    </w:p>
    <w:p>
      <w:pPr>
        <w:numPr>
          <w:ilvl w:val="0"/>
          <w:numId w:val="0"/>
        </w:numPr>
        <w:autoSpaceDE w:val="0"/>
        <w:autoSpaceDN w:val="0"/>
        <w:snapToGrid w:val="0"/>
        <w:spacing w:before="62" w:after="0" w:line="240" w:lineRule="auto"/>
        <w:jc w:val="left"/>
        <w:rPr>
          <w:rFonts w:ascii="宋体" w:hAnsi="宋体" w:eastAsia="宋体"/>
          <w:color w:val="000000"/>
          <w:w w:val="100"/>
          <w:sz w:val="21"/>
          <w:szCs w:val="21"/>
        </w:rPr>
      </w:pPr>
    </w:p>
    <w:p>
      <w:pPr>
        <w:numPr>
          <w:ilvl w:val="0"/>
          <w:numId w:val="0"/>
        </w:numPr>
        <w:autoSpaceDE w:val="0"/>
        <w:autoSpaceDN w:val="0"/>
        <w:snapToGrid w:val="0"/>
        <w:spacing w:before="62" w:after="0" w:line="240" w:lineRule="auto"/>
        <w:jc w:val="left"/>
        <w:rPr>
          <w:rFonts w:ascii="宋体" w:hAnsi="宋体" w:eastAsia="宋体"/>
          <w:color w:val="000000"/>
          <w:w w:val="100"/>
          <w:sz w:val="21"/>
          <w:szCs w:val="21"/>
        </w:rPr>
      </w:pPr>
    </w:p>
    <w:tbl>
      <w:tblPr>
        <w:tblStyle w:val="15"/>
        <w:tblW w:w="9082" w:type="dxa"/>
        <w:tblInd w:w="-122" w:type="dxa"/>
        <w:tblLayout w:type="fixed"/>
        <w:tblCellMar>
          <w:top w:w="0" w:type="dxa"/>
          <w:left w:w="0" w:type="dxa"/>
          <w:bottom w:w="0" w:type="dxa"/>
          <w:right w:w="0" w:type="dxa"/>
        </w:tblCellMar>
      </w:tblPr>
      <w:tblGrid>
        <w:gridCol w:w="4760"/>
        <w:gridCol w:w="4322"/>
      </w:tblGrid>
      <w:tr>
        <w:tblPrEx>
          <w:tblCellMar>
            <w:top w:w="0" w:type="dxa"/>
            <w:left w:w="0" w:type="dxa"/>
            <w:bottom w:w="0" w:type="dxa"/>
            <w:right w:w="0" w:type="dxa"/>
          </w:tblCellMar>
        </w:tblPrEx>
        <w:tc>
          <w:tcPr>
            <w:tcW w:w="4760" w:type="dxa"/>
            <w:noWrap w:val="0"/>
            <w:tcMar>
              <w:top w:w="0" w:type="dxa"/>
              <w:left w:w="0" w:type="dxa"/>
              <w:bottom w:w="0" w:type="dxa"/>
              <w:right w:w="0" w:type="dxa"/>
            </w:tcMar>
            <w:vAlign w:val="top"/>
          </w:tcPr>
          <w:p>
            <w:pPr>
              <w:autoSpaceDE w:val="0"/>
              <w:autoSpaceDN w:val="0"/>
              <w:snapToGrid w:val="0"/>
              <w:spacing w:before="62" w:after="62" w:line="240" w:lineRule="auto"/>
              <w:ind w:left="420" w:right="210" w:firstLine="0"/>
              <w:jc w:val="left"/>
              <w:rPr>
                <w:rFonts w:ascii="宋体" w:hAnsi="宋体" w:eastAsia="宋体"/>
                <w:color w:val="000000"/>
                <w:w w:val="100"/>
                <w:sz w:val="24"/>
                <w:szCs w:val="24"/>
              </w:rPr>
            </w:pPr>
            <w:r>
              <w:rPr>
                <w:rFonts w:hint="eastAsia" w:ascii="宋体" w:hAnsi="宋体" w:eastAsia="宋体"/>
                <w:b/>
                <w:bCs/>
                <w:color w:val="000000"/>
                <w:w w:val="100"/>
                <w:sz w:val="24"/>
                <w:szCs w:val="24"/>
                <w:lang w:eastAsia="zh-CN"/>
              </w:rPr>
              <w:t>甲方</w:t>
            </w:r>
            <w:r>
              <w:rPr>
                <w:rFonts w:ascii="宋体" w:hAnsi="宋体" w:eastAsia="宋体"/>
                <w:b/>
                <w:bCs/>
                <w:color w:val="000000"/>
                <w:w w:val="100"/>
                <w:sz w:val="24"/>
                <w:szCs w:val="24"/>
              </w:rPr>
              <w:t>:</w:t>
            </w:r>
            <w:r>
              <w:rPr>
                <w:rFonts w:hint="eastAsia" w:ascii="宋体" w:hAnsi="宋体" w:eastAsia="宋体"/>
                <w:b/>
                <w:bCs/>
                <w:color w:val="000000"/>
                <w:w w:val="100"/>
                <w:sz w:val="24"/>
                <w:szCs w:val="24"/>
                <w:lang w:eastAsia="zh-CN"/>
              </w:rPr>
              <w:t>（公章）</w:t>
            </w:r>
            <w:r>
              <w:rPr>
                <w:rFonts w:hint="eastAsia" w:ascii="宋体" w:hAnsi="宋体" w:eastAsia="宋体" w:cs="Times New Roman"/>
                <w:b/>
                <w:bCs/>
                <w:w w:val="100"/>
                <w:sz w:val="24"/>
                <w:szCs w:val="24"/>
                <w:lang w:eastAsia="zh-CN"/>
              </w:rPr>
              <w:t>广州市城壹房地产顾问有限公司</w:t>
            </w:r>
          </w:p>
        </w:tc>
        <w:tc>
          <w:tcPr>
            <w:tcW w:w="4322" w:type="dxa"/>
            <w:noWrap w:val="0"/>
            <w:tcMar>
              <w:top w:w="0" w:type="dxa"/>
              <w:left w:w="0" w:type="dxa"/>
              <w:bottom w:w="0" w:type="dxa"/>
              <w:right w:w="0" w:type="dxa"/>
            </w:tcMar>
            <w:vAlign w:val="top"/>
          </w:tcPr>
          <w:p>
            <w:pPr>
              <w:autoSpaceDE w:val="0"/>
              <w:autoSpaceDN w:val="0"/>
              <w:snapToGrid w:val="0"/>
              <w:spacing w:before="62" w:after="62" w:line="240" w:lineRule="auto"/>
              <w:ind w:left="420" w:right="210" w:firstLine="0"/>
              <w:jc w:val="left"/>
              <w:rPr>
                <w:rFonts w:hint="eastAsia" w:ascii="宋体" w:hAnsi="宋体" w:eastAsia="宋体"/>
                <w:color w:val="000000"/>
                <w:w w:val="100"/>
                <w:sz w:val="24"/>
                <w:szCs w:val="24"/>
                <w:lang w:eastAsia="zh-CN"/>
              </w:rPr>
            </w:pPr>
            <w:r>
              <w:rPr>
                <w:rFonts w:hint="eastAsia" w:ascii="宋体" w:hAnsi="宋体" w:eastAsia="宋体"/>
                <w:b/>
                <w:bCs/>
                <w:color w:val="000000"/>
                <w:w w:val="100"/>
                <w:sz w:val="24"/>
                <w:szCs w:val="24"/>
                <w:lang w:eastAsia="zh-CN"/>
              </w:rPr>
              <w:t>乙方</w:t>
            </w:r>
            <w:r>
              <w:rPr>
                <w:rFonts w:ascii="宋体" w:hAnsi="宋体" w:eastAsia="宋体"/>
                <w:b/>
                <w:bCs/>
                <w:color w:val="000000"/>
                <w:w w:val="100"/>
                <w:sz w:val="24"/>
                <w:szCs w:val="24"/>
              </w:rPr>
              <w:t>:(</w:t>
            </w:r>
            <w:r>
              <w:rPr>
                <w:rFonts w:hint="eastAsia" w:ascii="宋体" w:hAnsi="宋体" w:eastAsia="宋体"/>
                <w:b/>
                <w:bCs/>
                <w:color w:val="000000"/>
                <w:w w:val="100"/>
                <w:sz w:val="24"/>
                <w:szCs w:val="24"/>
                <w:lang w:eastAsia="zh-CN"/>
              </w:rPr>
              <w:t>公章</w:t>
            </w:r>
            <w:r>
              <w:rPr>
                <w:rFonts w:ascii="宋体" w:hAnsi="宋体" w:eastAsia="宋体"/>
                <w:b/>
                <w:bCs/>
                <w:color w:val="000000"/>
                <w:w w:val="100"/>
                <w:sz w:val="24"/>
                <w:szCs w:val="24"/>
              </w:rPr>
              <w:t>)</w:t>
            </w:r>
          </w:p>
        </w:tc>
      </w:tr>
      <w:tr>
        <w:tblPrEx>
          <w:tblCellMar>
            <w:top w:w="0" w:type="dxa"/>
            <w:left w:w="0" w:type="dxa"/>
            <w:bottom w:w="0" w:type="dxa"/>
            <w:right w:w="0" w:type="dxa"/>
          </w:tblCellMar>
        </w:tblPrEx>
        <w:tc>
          <w:tcPr>
            <w:tcW w:w="4760" w:type="dxa"/>
            <w:noWrap w:val="0"/>
            <w:tcMar>
              <w:top w:w="0" w:type="dxa"/>
              <w:left w:w="0" w:type="dxa"/>
              <w:bottom w:w="0" w:type="dxa"/>
              <w:right w:w="0" w:type="dxa"/>
            </w:tcMar>
            <w:vAlign w:val="top"/>
          </w:tcPr>
          <w:p>
            <w:pPr>
              <w:autoSpaceDE w:val="0"/>
              <w:autoSpaceDN w:val="0"/>
              <w:snapToGrid w:val="0"/>
              <w:spacing w:before="62" w:after="62" w:line="240" w:lineRule="auto"/>
              <w:ind w:left="420" w:right="210" w:firstLine="0"/>
              <w:jc w:val="left"/>
              <w:rPr>
                <w:rFonts w:ascii="宋体" w:hAnsi="宋体" w:eastAsia="宋体"/>
                <w:color w:val="000000"/>
                <w:w w:val="100"/>
                <w:sz w:val="24"/>
                <w:szCs w:val="24"/>
              </w:rPr>
            </w:pPr>
            <w:r>
              <w:rPr>
                <w:rFonts w:hint="eastAsia" w:ascii="宋体" w:hAnsi="宋体" w:eastAsia="宋体"/>
                <w:color w:val="000000"/>
                <w:w w:val="100"/>
                <w:sz w:val="24"/>
                <w:szCs w:val="24"/>
                <w:lang w:eastAsia="zh-CN"/>
              </w:rPr>
              <w:t>法定代表人/委托代理人</w:t>
            </w:r>
            <w:r>
              <w:rPr>
                <w:rFonts w:ascii="宋体" w:hAnsi="宋体" w:eastAsia="宋体"/>
                <w:color w:val="000000"/>
                <w:w w:val="100"/>
                <w:sz w:val="24"/>
                <w:szCs w:val="24"/>
              </w:rPr>
              <w:t>:(</w:t>
            </w:r>
            <w:r>
              <w:rPr>
                <w:rFonts w:hint="eastAsia" w:ascii="宋体" w:hAnsi="宋体" w:eastAsia="宋体"/>
                <w:color w:val="000000"/>
                <w:w w:val="100"/>
                <w:sz w:val="24"/>
                <w:szCs w:val="24"/>
                <w:lang w:eastAsia="zh-CN"/>
              </w:rPr>
              <w:t>签字</w:t>
            </w:r>
            <w:r>
              <w:rPr>
                <w:rFonts w:ascii="宋体" w:hAnsi="宋体" w:eastAsia="宋体"/>
                <w:color w:val="000000"/>
                <w:w w:val="100"/>
                <w:sz w:val="24"/>
                <w:szCs w:val="24"/>
              </w:rPr>
              <w:t xml:space="preserve">)      </w:t>
            </w:r>
          </w:p>
        </w:tc>
        <w:tc>
          <w:tcPr>
            <w:tcW w:w="4322" w:type="dxa"/>
            <w:noWrap w:val="0"/>
            <w:tcMar>
              <w:top w:w="0" w:type="dxa"/>
              <w:left w:w="0" w:type="dxa"/>
              <w:bottom w:w="0" w:type="dxa"/>
              <w:right w:w="0" w:type="dxa"/>
            </w:tcMar>
            <w:vAlign w:val="top"/>
          </w:tcPr>
          <w:p>
            <w:pPr>
              <w:autoSpaceDE w:val="0"/>
              <w:autoSpaceDN w:val="0"/>
              <w:snapToGrid w:val="0"/>
              <w:spacing w:before="62" w:after="62" w:line="240" w:lineRule="auto"/>
              <w:ind w:left="420" w:right="210" w:firstLine="0"/>
              <w:jc w:val="left"/>
              <w:rPr>
                <w:rFonts w:ascii="宋体" w:hAnsi="宋体" w:eastAsia="宋体"/>
                <w:color w:val="000000"/>
                <w:w w:val="100"/>
                <w:sz w:val="24"/>
                <w:szCs w:val="24"/>
              </w:rPr>
            </w:pPr>
            <w:r>
              <w:rPr>
                <w:rFonts w:hint="eastAsia" w:ascii="宋体" w:hAnsi="宋体" w:eastAsia="宋体"/>
                <w:color w:val="000000"/>
                <w:w w:val="100"/>
                <w:sz w:val="24"/>
                <w:szCs w:val="24"/>
                <w:lang w:eastAsia="zh-CN"/>
              </w:rPr>
              <w:t>法定代表人/委托代理人</w:t>
            </w:r>
            <w:r>
              <w:rPr>
                <w:rFonts w:ascii="宋体" w:hAnsi="宋体" w:eastAsia="宋体"/>
                <w:color w:val="000000"/>
                <w:w w:val="100"/>
                <w:sz w:val="24"/>
                <w:szCs w:val="24"/>
              </w:rPr>
              <w:t>:(</w:t>
            </w:r>
            <w:r>
              <w:rPr>
                <w:rFonts w:hint="eastAsia" w:ascii="宋体" w:hAnsi="宋体" w:eastAsia="宋体"/>
                <w:color w:val="000000"/>
                <w:w w:val="100"/>
                <w:sz w:val="24"/>
                <w:szCs w:val="24"/>
                <w:lang w:eastAsia="zh-CN"/>
              </w:rPr>
              <w:t>签字</w:t>
            </w:r>
            <w:r>
              <w:rPr>
                <w:rFonts w:ascii="宋体" w:hAnsi="宋体" w:eastAsia="宋体"/>
                <w:color w:val="000000"/>
                <w:w w:val="100"/>
                <w:sz w:val="24"/>
                <w:szCs w:val="24"/>
              </w:rPr>
              <w:t xml:space="preserve">)      </w:t>
            </w:r>
          </w:p>
        </w:tc>
      </w:tr>
      <w:tr>
        <w:tblPrEx>
          <w:tblCellMar>
            <w:top w:w="0" w:type="dxa"/>
            <w:left w:w="0" w:type="dxa"/>
            <w:bottom w:w="0" w:type="dxa"/>
            <w:right w:w="0" w:type="dxa"/>
          </w:tblCellMar>
        </w:tblPrEx>
        <w:tc>
          <w:tcPr>
            <w:tcW w:w="4760" w:type="dxa"/>
            <w:noWrap w:val="0"/>
            <w:tcMar>
              <w:top w:w="0" w:type="dxa"/>
              <w:left w:w="0" w:type="dxa"/>
              <w:bottom w:w="0" w:type="dxa"/>
              <w:right w:w="0" w:type="dxa"/>
            </w:tcMar>
            <w:vAlign w:val="top"/>
          </w:tcPr>
          <w:p>
            <w:pPr>
              <w:tabs>
                <w:tab w:val="left" w:pos="2910"/>
              </w:tabs>
              <w:autoSpaceDE w:val="0"/>
              <w:autoSpaceDN w:val="0"/>
              <w:snapToGrid w:val="0"/>
              <w:spacing w:before="62" w:after="62" w:line="240" w:lineRule="auto"/>
              <w:ind w:left="420" w:right="210" w:firstLine="0"/>
              <w:jc w:val="left"/>
              <w:rPr>
                <w:rFonts w:ascii="宋体" w:hAnsi="宋体" w:eastAsia="宋体"/>
                <w:color w:val="000000"/>
                <w:w w:val="100"/>
                <w:sz w:val="24"/>
                <w:szCs w:val="24"/>
              </w:rPr>
            </w:pPr>
          </w:p>
        </w:tc>
        <w:tc>
          <w:tcPr>
            <w:tcW w:w="4322" w:type="dxa"/>
            <w:noWrap w:val="0"/>
            <w:tcMar>
              <w:top w:w="0" w:type="dxa"/>
              <w:left w:w="0" w:type="dxa"/>
              <w:bottom w:w="0" w:type="dxa"/>
              <w:right w:w="0" w:type="dxa"/>
            </w:tcMar>
            <w:vAlign w:val="top"/>
          </w:tcPr>
          <w:p>
            <w:pPr>
              <w:tabs>
                <w:tab w:val="left" w:pos="2910"/>
              </w:tabs>
              <w:autoSpaceDE w:val="0"/>
              <w:autoSpaceDN w:val="0"/>
              <w:snapToGrid w:val="0"/>
              <w:spacing w:before="62" w:after="62" w:line="240" w:lineRule="auto"/>
              <w:ind w:left="420" w:right="210" w:firstLine="0"/>
              <w:jc w:val="left"/>
              <w:rPr>
                <w:rFonts w:ascii="宋体" w:hAnsi="宋体" w:eastAsia="宋体"/>
                <w:color w:val="000000"/>
                <w:w w:val="100"/>
                <w:sz w:val="24"/>
                <w:szCs w:val="24"/>
              </w:rPr>
            </w:pPr>
          </w:p>
        </w:tc>
      </w:tr>
    </w:tbl>
    <w:p>
      <w:pPr>
        <w:autoSpaceDE/>
        <w:autoSpaceDN/>
        <w:snapToGrid/>
        <w:spacing w:before="0" w:after="0" w:line="240" w:lineRule="auto"/>
        <w:ind w:left="0" w:firstLine="0"/>
        <w:jc w:val="right"/>
        <w:rPr>
          <w:rFonts w:ascii="宋体" w:hAnsi="宋体" w:eastAsia="宋体"/>
          <w:w w:val="100"/>
          <w:sz w:val="24"/>
          <w:szCs w:val="24"/>
        </w:rPr>
      </w:pPr>
    </w:p>
    <w:p>
      <w:pPr>
        <w:pStyle w:val="14"/>
        <w:ind w:left="0" w:firstLine="0"/>
        <w:rPr>
          <w:rFonts w:ascii="仿宋" w:hAnsi="仿宋" w:eastAsia="仿宋" w:cs="仿宋"/>
          <w:sz w:val="28"/>
          <w:szCs w:val="28"/>
        </w:rPr>
      </w:pPr>
      <w:r>
        <w:rPr>
          <w:rFonts w:hint="eastAsia" w:ascii="宋体" w:hAnsi="宋体" w:eastAsia="宋体"/>
          <w:w w:val="100"/>
          <w:sz w:val="24"/>
          <w:szCs w:val="24"/>
          <w:lang w:val="en-US" w:eastAsia="zh-CN"/>
        </w:rPr>
        <w:t xml:space="preserve">                                         </w:t>
      </w:r>
      <w:r>
        <w:rPr>
          <w:rFonts w:hint="eastAsia" w:ascii="宋体" w:hAnsi="宋体" w:eastAsia="宋体"/>
          <w:w w:val="100"/>
          <w:sz w:val="24"/>
          <w:szCs w:val="24"/>
          <w:lang w:eastAsia="zh-CN"/>
        </w:rPr>
        <w:t>签约日期：</w:t>
      </w:r>
      <w:r>
        <w:rPr>
          <w:rFonts w:hint="eastAsia" w:ascii="宋体" w:hAnsi="宋体"/>
          <w:color w:val="000000"/>
          <w:w w:val="100"/>
          <w:sz w:val="24"/>
          <w:szCs w:val="24"/>
          <w:shd w:val="pct10" w:color="000000" w:fill="FFFFFF"/>
          <w:lang w:eastAsia="zh-CN"/>
        </w:rPr>
        <w:t>2023</w:t>
      </w:r>
      <w:r>
        <w:rPr>
          <w:rFonts w:hint="eastAsia" w:ascii="宋体" w:hAnsi="宋体" w:eastAsia="宋体"/>
          <w:w w:val="100"/>
          <w:sz w:val="24"/>
          <w:szCs w:val="24"/>
          <w:lang w:eastAsia="zh-CN"/>
        </w:rPr>
        <w:t xml:space="preserve">年 </w:t>
      </w:r>
      <w:r>
        <w:rPr>
          <w:rFonts w:hint="eastAsia" w:ascii="宋体" w:hAnsi="宋体" w:eastAsia="宋体"/>
          <w:color w:val="000000"/>
          <w:w w:val="100"/>
          <w:sz w:val="24"/>
          <w:szCs w:val="24"/>
          <w:shd w:val="pct10" w:color="000000" w:fill="FFFFFF"/>
          <w:lang w:eastAsia="zh-CN"/>
        </w:rPr>
        <w:t xml:space="preserve">    </w:t>
      </w:r>
      <w:r>
        <w:rPr>
          <w:rFonts w:hint="eastAsia" w:ascii="宋体" w:hAnsi="宋体" w:eastAsia="宋体"/>
          <w:w w:val="100"/>
          <w:sz w:val="24"/>
          <w:szCs w:val="24"/>
          <w:lang w:eastAsia="zh-CN"/>
        </w:rPr>
        <w:t>月</w:t>
      </w:r>
      <w:r>
        <w:rPr>
          <w:rFonts w:hint="eastAsia" w:ascii="宋体" w:hAnsi="宋体" w:eastAsia="宋体"/>
          <w:color w:val="000000"/>
          <w:w w:val="100"/>
          <w:sz w:val="24"/>
          <w:szCs w:val="24"/>
          <w:shd w:val="pct10" w:color="000000" w:fill="FFFFFF"/>
          <w:lang w:eastAsia="zh-CN"/>
        </w:rPr>
        <w:t xml:space="preserve">   </w:t>
      </w:r>
      <w:r>
        <w:rPr>
          <w:rFonts w:hint="eastAsia" w:ascii="宋体" w:hAnsi="宋体" w:eastAsia="宋体"/>
          <w:w w:val="100"/>
          <w:sz w:val="24"/>
          <w:szCs w:val="24"/>
          <w:lang w:eastAsia="zh-CN"/>
        </w:rPr>
        <w:t>日</w:t>
      </w:r>
    </w:p>
    <w:p>
      <w:pPr>
        <w:pStyle w:val="3"/>
        <w:spacing w:line="240" w:lineRule="auto"/>
        <w:jc w:val="center"/>
        <w:rPr>
          <w:rFonts w:hint="eastAsia" w:ascii="仿宋_GB2312" w:hAnsi="宋体" w:eastAsia="仿宋_GB2312" w:cs="宋体"/>
        </w:rPr>
      </w:pPr>
    </w:p>
    <w:p>
      <w:pPr>
        <w:pStyle w:val="3"/>
        <w:spacing w:line="240" w:lineRule="auto"/>
        <w:jc w:val="center"/>
        <w:rPr>
          <w:rFonts w:hint="eastAsia" w:ascii="仿宋_GB2312" w:hAnsi="宋体" w:eastAsia="仿宋_GB2312" w:cs="宋体"/>
        </w:rPr>
      </w:pPr>
    </w:p>
    <w:p>
      <w:pPr>
        <w:pStyle w:val="3"/>
        <w:spacing w:line="240" w:lineRule="auto"/>
        <w:jc w:val="both"/>
      </w:pPr>
      <w:r>
        <w:rPr>
          <w:rFonts w:hint="eastAsia" w:ascii="仿宋_GB2312" w:hAnsi="宋体" w:eastAsia="仿宋_GB2312" w:cs="宋体"/>
        </w:rPr>
        <w:t>六、竞投文件格式（竞投人提交）</w:t>
      </w:r>
    </w:p>
    <w:p>
      <w:pPr>
        <w:pStyle w:val="3"/>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lang w:eastAsia="zh-CN"/>
        </w:rPr>
        <w:t>广州城投·禧悦府 道路指示蓝白牌&amp;包柱户外广告投放服务</w:t>
      </w:r>
      <w:r>
        <w:rPr>
          <w:rFonts w:hint="eastAsia" w:ascii="仿宋_GB2312" w:eastAsia="仿宋_GB2312"/>
          <w:b/>
          <w:sz w:val="52"/>
          <w:szCs w:val="52"/>
        </w:rPr>
        <w:t>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800"/>
        <w:rPr>
          <w:rFonts w:hint="eastAsia" w:ascii="仿宋_GB2312" w:eastAsia="仿宋_GB2312"/>
          <w:sz w:val="32"/>
          <w:szCs w:val="32"/>
        </w:rPr>
      </w:pPr>
    </w:p>
    <w:p>
      <w:pPr>
        <w:ind w:firstLine="800"/>
        <w:rPr>
          <w:rFonts w:hint="eastAsia" w:ascii="仿宋_GB2312" w:eastAsia="仿宋_GB2312"/>
          <w:sz w:val="32"/>
          <w:szCs w:val="32"/>
        </w:rPr>
      </w:pPr>
    </w:p>
    <w:p>
      <w:pPr>
        <w:ind w:firstLine="800"/>
        <w:rPr>
          <w:rFonts w:hint="eastAsia" w:ascii="仿宋_GB2312" w:eastAsia="仿宋_GB2312"/>
          <w:sz w:val="32"/>
          <w:szCs w:val="32"/>
        </w:rPr>
      </w:pPr>
    </w:p>
    <w:p>
      <w:pPr>
        <w:ind w:firstLine="800"/>
        <w:rPr>
          <w:rFonts w:hint="eastAsia" w:ascii="仿宋_GB2312" w:eastAsia="仿宋_GB2312"/>
          <w:sz w:val="32"/>
          <w:szCs w:val="32"/>
        </w:rPr>
      </w:pPr>
    </w:p>
    <w:p>
      <w:pPr>
        <w:ind w:firstLine="800"/>
        <w:rPr>
          <w:rFonts w:ascii="仿宋_GB2312" w:eastAsia="仿宋_GB2312"/>
          <w:sz w:val="32"/>
          <w:szCs w:val="32"/>
          <w:u w:val="single"/>
        </w:rPr>
      </w:pPr>
      <w:r>
        <w:rPr>
          <w:rFonts w:hint="eastAsia" w:ascii="仿宋_GB2312" w:eastAsia="仿宋_GB2312"/>
          <w:sz w:val="32"/>
          <w:szCs w:val="32"/>
        </w:rPr>
        <w:t>竞投单位：</w:t>
      </w:r>
    </w:p>
    <w:p>
      <w:pPr>
        <w:ind w:firstLine="800"/>
        <w:rPr>
          <w:rFonts w:ascii="仿宋_GB2312" w:eastAsia="仿宋_GB2312"/>
          <w:b w:val="0"/>
          <w:sz w:val="28"/>
          <w:szCs w:val="28"/>
        </w:rPr>
      </w:pPr>
      <w:r>
        <w:rPr>
          <w:rFonts w:hint="eastAsia" w:ascii="仿宋_GB2312" w:eastAsia="仿宋_GB2312"/>
          <w:sz w:val="32"/>
          <w:szCs w:val="32"/>
        </w:rPr>
        <w:t>竞投日期：</w:t>
      </w:r>
      <w:r>
        <w:rPr>
          <w:rFonts w:hint="eastAsia" w:ascii="仿宋_GB2312" w:eastAsia="仿宋_GB2312"/>
          <w:sz w:val="32"/>
          <w:szCs w:val="32"/>
          <w:lang w:eastAsia="zh-CN"/>
        </w:rPr>
        <w:t>2023</w:t>
      </w:r>
      <w:r>
        <w:rPr>
          <w:rFonts w:hint="eastAsia" w:ascii="仿宋_GB2312" w:eastAsia="仿宋_GB2312"/>
          <w:sz w:val="32"/>
          <w:szCs w:val="32"/>
        </w:rPr>
        <w:t>年  月  日</w:t>
      </w:r>
      <w:r>
        <w:br w:type="page"/>
      </w:r>
      <w:r>
        <w:rPr>
          <w:rFonts w:hint="eastAsia" w:ascii="仿宋_GB2312" w:eastAsia="仿宋_GB2312"/>
          <w:b w:val="0"/>
          <w:sz w:val="24"/>
          <w:szCs w:val="24"/>
        </w:rPr>
        <w:t>附件2：竞投函</w:t>
      </w:r>
    </w:p>
    <w:p>
      <w:pPr>
        <w:pStyle w:val="3"/>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sz w:val="24"/>
          <w:szCs w:val="24"/>
        </w:rPr>
      </w:pPr>
      <w:r>
        <w:rPr>
          <w:rFonts w:hint="eastAsia" w:ascii="仿宋_GB2312" w:hAnsi="宋体" w:eastAsia="仿宋_GB2312"/>
          <w:b/>
          <w:sz w:val="24"/>
          <w:szCs w:val="24"/>
        </w:rPr>
        <w:t xml:space="preserve">致: </w:t>
      </w:r>
      <w:r>
        <w:rPr>
          <w:rFonts w:hint="eastAsia" w:ascii="仿宋_GB2312" w:hAnsi="宋体" w:eastAsia="仿宋_GB2312" w:cs="宋体"/>
          <w:b/>
          <w:color w:val="333333"/>
          <w:sz w:val="24"/>
          <w:szCs w:val="24"/>
        </w:rPr>
        <w:t>广州市城壹房地产顾问有限公司（采购人）</w:t>
      </w:r>
    </w:p>
    <w:p>
      <w:pPr>
        <w:spacing w:line="360" w:lineRule="auto"/>
        <w:ind w:firstLine="200"/>
        <w:rPr>
          <w:rFonts w:ascii="仿宋_GB2312" w:hAnsi="宋体" w:eastAsia="仿宋_GB2312"/>
          <w:sz w:val="24"/>
          <w:szCs w:val="24"/>
        </w:rPr>
      </w:pPr>
      <w:r>
        <w:rPr>
          <w:rFonts w:hint="eastAsia" w:ascii="仿宋_GB2312" w:hAnsi="宋体" w:eastAsia="仿宋_GB2312"/>
          <w:sz w:val="24"/>
          <w:szCs w:val="24"/>
        </w:rPr>
        <w:t>根据你方采购项目</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的竞选采购文件要求，我方在此声明并同意：</w:t>
      </w:r>
    </w:p>
    <w:p>
      <w:pPr>
        <w:numPr>
          <w:ilvl w:val="0"/>
          <w:numId w:val="13"/>
        </w:numPr>
        <w:spacing w:line="360" w:lineRule="auto"/>
        <w:ind w:left="0" w:firstLine="425"/>
        <w:rPr>
          <w:rFonts w:ascii="仿宋_GB2312" w:hAnsi="宋体" w:eastAsia="仿宋_GB2312"/>
          <w:sz w:val="24"/>
          <w:szCs w:val="24"/>
        </w:rPr>
      </w:pPr>
      <w:r>
        <w:rPr>
          <w:rFonts w:hint="eastAsia" w:ascii="仿宋_GB2312" w:hAnsi="宋体" w:eastAsia="仿宋_GB2312"/>
          <w:sz w:val="24"/>
          <w:szCs w:val="24"/>
        </w:rPr>
        <w:t>我方愿意遵守采购文件的各项规定，按采购文件的要求提供各项资料及报价。</w:t>
      </w:r>
    </w:p>
    <w:p>
      <w:pPr>
        <w:numPr>
          <w:ilvl w:val="0"/>
          <w:numId w:val="13"/>
        </w:numPr>
        <w:spacing w:line="360" w:lineRule="auto"/>
        <w:ind w:left="0" w:firstLine="425"/>
        <w:rPr>
          <w:rFonts w:ascii="仿宋_GB2312" w:hAnsi="宋体" w:eastAsia="仿宋_GB2312"/>
          <w:sz w:val="24"/>
          <w:szCs w:val="24"/>
        </w:rPr>
      </w:pPr>
      <w:r>
        <w:rPr>
          <w:rFonts w:hint="eastAsia" w:ascii="仿宋_GB2312" w:hAnsi="宋体" w:eastAsia="仿宋_GB2312"/>
          <w:sz w:val="24"/>
          <w:szCs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13"/>
        </w:numPr>
        <w:spacing w:line="360" w:lineRule="auto"/>
        <w:ind w:left="0" w:firstLine="425"/>
        <w:rPr>
          <w:rFonts w:ascii="仿宋_GB2312" w:hAnsi="宋体" w:eastAsia="仿宋_GB2312"/>
          <w:sz w:val="24"/>
          <w:szCs w:val="24"/>
        </w:rPr>
      </w:pPr>
      <w:r>
        <w:rPr>
          <w:rFonts w:hint="eastAsia" w:ascii="仿宋_GB2312" w:hAnsi="宋体" w:eastAsia="仿宋_GB2312"/>
          <w:sz w:val="24"/>
          <w:szCs w:val="24"/>
        </w:rPr>
        <w:t>我方完全接受该项目采购文件中关于竞投的规定，并同意放弃对这规定提出异议和质疑的权利。</w:t>
      </w:r>
    </w:p>
    <w:p>
      <w:pPr>
        <w:numPr>
          <w:ilvl w:val="0"/>
          <w:numId w:val="13"/>
        </w:numPr>
        <w:spacing w:line="360" w:lineRule="auto"/>
        <w:ind w:left="0" w:firstLine="425"/>
        <w:rPr>
          <w:rFonts w:ascii="仿宋_GB2312" w:hAnsi="宋体" w:eastAsia="仿宋_GB2312"/>
          <w:sz w:val="24"/>
          <w:szCs w:val="24"/>
        </w:rPr>
      </w:pPr>
      <w:r>
        <w:rPr>
          <w:rFonts w:hint="eastAsia" w:ascii="仿宋_GB2312" w:hAnsi="宋体" w:eastAsia="仿宋_GB2312"/>
          <w:sz w:val="24"/>
          <w:szCs w:val="24"/>
        </w:rPr>
        <w:t>我方同意提供采购文件要求的有关竞投的其它资料。</w:t>
      </w:r>
    </w:p>
    <w:p>
      <w:pPr>
        <w:numPr>
          <w:ilvl w:val="0"/>
          <w:numId w:val="13"/>
        </w:numPr>
        <w:spacing w:line="360" w:lineRule="auto"/>
        <w:ind w:left="0" w:firstLine="425"/>
        <w:rPr>
          <w:rFonts w:ascii="仿宋_GB2312" w:hAnsi="宋体" w:eastAsia="仿宋_GB2312"/>
          <w:sz w:val="24"/>
          <w:szCs w:val="24"/>
        </w:rPr>
      </w:pPr>
      <w:r>
        <w:rPr>
          <w:rFonts w:hint="eastAsia" w:ascii="仿宋_GB2312" w:hAnsi="宋体" w:eastAsia="仿宋_GB2312"/>
          <w:sz w:val="24"/>
          <w:szCs w:val="24"/>
        </w:rPr>
        <w:t>我方承诺在本次竞投中提供的一切文件，无论是原件或是复印件均为真实和准确的，绝无任何虚假、伪造和夸大的成份。否则，我方愿意承担相应的后果和法律责任。</w:t>
      </w:r>
    </w:p>
    <w:p>
      <w:pPr>
        <w:numPr>
          <w:ilvl w:val="0"/>
          <w:numId w:val="13"/>
        </w:numPr>
        <w:spacing w:line="360" w:lineRule="auto"/>
        <w:ind w:left="0" w:firstLine="425"/>
        <w:rPr>
          <w:rFonts w:ascii="仿宋_GB2312" w:hAnsi="宋体" w:eastAsia="仿宋_GB2312"/>
          <w:sz w:val="24"/>
          <w:szCs w:val="24"/>
        </w:rPr>
      </w:pPr>
      <w:r>
        <w:rPr>
          <w:rFonts w:hint="eastAsia" w:ascii="仿宋_GB2312" w:hAnsi="宋体" w:eastAsia="仿宋_GB2312"/>
          <w:sz w:val="24"/>
          <w:szCs w:val="24"/>
        </w:rPr>
        <w:t>我方完全理解，采购人并无义务必须接受最低报价的竞投或其它任何竞投。</w:t>
      </w:r>
    </w:p>
    <w:p>
      <w:pPr>
        <w:numPr>
          <w:ilvl w:val="0"/>
          <w:numId w:val="13"/>
        </w:numPr>
        <w:spacing w:line="360" w:lineRule="auto"/>
        <w:ind w:left="0" w:firstLine="425"/>
        <w:rPr>
          <w:rFonts w:ascii="仿宋_GB2312" w:hAnsi="宋体" w:eastAsia="仿宋_GB2312"/>
          <w:sz w:val="24"/>
          <w:szCs w:val="24"/>
        </w:rPr>
      </w:pPr>
      <w:r>
        <w:rPr>
          <w:rFonts w:hint="eastAsia" w:ascii="仿宋_GB2312" w:hAnsi="宋体" w:eastAsia="仿宋_GB2312"/>
          <w:sz w:val="24"/>
          <w:szCs w:val="24"/>
        </w:rPr>
        <w:t>如我方的竞投条件被接受，我方同意按照采购文件相关规定签署合同。</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p>
    <w:p>
      <w:pPr>
        <w:spacing w:line="440" w:lineRule="exact"/>
        <w:rPr>
          <w:rFonts w:hint="eastAsia" w:ascii="仿宋_GB2312" w:hAnsi="宋体" w:eastAsia="仿宋_GB2312"/>
          <w:sz w:val="24"/>
          <w:szCs w:val="24"/>
        </w:rPr>
      </w:pPr>
    </w:p>
    <w:p>
      <w:pPr>
        <w:spacing w:line="440" w:lineRule="exact"/>
        <w:rPr>
          <w:rFonts w:hint="eastAsia" w:ascii="仿宋_GB2312" w:hAnsi="宋体" w:eastAsia="仿宋_GB2312"/>
          <w:sz w:val="24"/>
          <w:szCs w:val="24"/>
        </w:rPr>
      </w:pPr>
    </w:p>
    <w:p>
      <w:pPr>
        <w:spacing w:line="440" w:lineRule="exact"/>
        <w:rPr>
          <w:rFonts w:hint="eastAsia" w:ascii="仿宋_GB2312" w:hAnsi="宋体" w:eastAsia="仿宋_GB2312"/>
          <w:sz w:val="24"/>
          <w:szCs w:val="24"/>
        </w:rPr>
      </w:pPr>
    </w:p>
    <w:p>
      <w:pPr>
        <w:spacing w:line="440" w:lineRule="exact"/>
        <w:rPr>
          <w:rFonts w:ascii="仿宋_GB2312" w:hAnsi="宋体" w:eastAsia="仿宋_GB2312"/>
          <w:sz w:val="24"/>
          <w:szCs w:val="24"/>
        </w:rPr>
      </w:pPr>
      <w:r>
        <w:rPr>
          <w:rFonts w:hint="eastAsia" w:ascii="仿宋_GB2312" w:hAnsi="宋体" w:eastAsia="仿宋_GB2312"/>
          <w:sz w:val="24"/>
          <w:szCs w:val="24"/>
        </w:rPr>
        <w:t>竞投人全称（加盖公章）:</w:t>
      </w:r>
    </w:p>
    <w:p>
      <w:pPr>
        <w:tabs>
          <w:tab w:val="left" w:pos="3600"/>
        </w:tabs>
        <w:spacing w:line="440" w:lineRule="exact"/>
        <w:rPr>
          <w:rFonts w:ascii="仿宋_GB2312" w:hAnsi="宋体" w:eastAsia="仿宋_GB2312"/>
          <w:sz w:val="24"/>
          <w:szCs w:val="24"/>
        </w:rPr>
      </w:pPr>
      <w:r>
        <w:rPr>
          <w:rFonts w:hint="eastAsia" w:ascii="仿宋_GB2312" w:hAnsi="宋体" w:eastAsia="仿宋_GB2312"/>
          <w:sz w:val="24"/>
          <w:szCs w:val="24"/>
        </w:rPr>
        <w:t>法定代表人或其竞投人授权代表(签字)：</w:t>
      </w:r>
    </w:p>
    <w:p>
      <w:pPr>
        <w:spacing w:before="120" w:after="120" w:line="440" w:lineRule="exact"/>
        <w:rPr>
          <w:rFonts w:ascii="仿宋_GB2312" w:hAnsi="宋体" w:eastAsia="仿宋_GB2312"/>
          <w:sz w:val="24"/>
          <w:szCs w:val="24"/>
        </w:rPr>
      </w:pPr>
      <w:r>
        <w:rPr>
          <w:rFonts w:hint="eastAsia" w:ascii="仿宋_GB2312" w:hAnsi="宋体" w:eastAsia="仿宋_GB2312"/>
          <w:sz w:val="24"/>
          <w:szCs w:val="24"/>
        </w:rPr>
        <w:t>日    期：         年      月     日</w:t>
      </w:r>
    </w:p>
    <w:p>
      <w:pPr>
        <w:pStyle w:val="3"/>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3"/>
        <w:jc w:val="center"/>
        <w:rPr>
          <w:rFonts w:ascii="仿宋_GB2312" w:hAnsi="宋体" w:eastAsia="仿宋_GB2312" w:cs="宋体"/>
          <w:b w:val="0"/>
          <w:color w:val="000000"/>
        </w:rPr>
      </w:pPr>
      <w:r>
        <w:rPr>
          <w:rFonts w:hint="eastAsia" w:ascii="仿宋_GB2312" w:hAnsi="宋体" w:eastAsia="仿宋_GB2312" w:cs="宋体"/>
        </w:rPr>
        <w:t>法定代表人证明及授权书</w:t>
      </w:r>
    </w:p>
    <w:p>
      <w:pPr>
        <w:pStyle w:val="7"/>
        <w:spacing w:line="300" w:lineRule="auto"/>
        <w:ind w:firstLine="0"/>
        <w:rPr>
          <w:rFonts w:ascii="仿宋_GB2312" w:hAnsi="宋体" w:eastAsia="仿宋_GB2312" w:cs="宋体"/>
          <w:color w:val="333333"/>
        </w:rPr>
      </w:pPr>
      <w:r>
        <w:rPr>
          <w:rFonts w:hint="eastAsia" w:ascii="仿宋_GB2312" w:hAnsi="宋体" w:eastAsia="仿宋_GB2312" w:cs="宋体"/>
          <w:color w:val="333333"/>
        </w:rPr>
        <w:t>致: 广州市城壹房地产顾问有限公司</w:t>
      </w:r>
      <w:r>
        <w:rPr>
          <w:rFonts w:hint="eastAsia" w:ascii="仿宋_GB2312" w:hAnsi="宋体" w:eastAsia="仿宋_GB2312" w:cs="宋体"/>
          <w:color w:val="333333"/>
        </w:rPr>
        <w:tab/>
      </w:r>
    </w:p>
    <w:p>
      <w:pPr>
        <w:pStyle w:val="7"/>
        <w:spacing w:line="300" w:lineRule="auto"/>
        <w:ind w:firstLine="200"/>
        <w:rPr>
          <w:rFonts w:ascii="仿宋_GB2312" w:hAnsi="宋体" w:eastAsia="仿宋_GB2312"/>
          <w:color w:val="000000"/>
          <w:sz w:val="21"/>
          <w:szCs w:val="21"/>
        </w:rPr>
      </w:pPr>
    </w:p>
    <w:p>
      <w:pPr>
        <w:pStyle w:val="7"/>
        <w:ind w:firstLine="200"/>
        <w:rPr>
          <w:rFonts w:ascii="仿宋_GB2312" w:hAnsi="宋体" w:eastAsia="仿宋_GB2312"/>
          <w:color w:val="000000"/>
        </w:rPr>
      </w:pPr>
      <w:r>
        <w:rPr>
          <w:rFonts w:hint="eastAsia" w:ascii="仿宋_GB2312" w:hAnsi="宋体" w:eastAsia="仿宋_GB2312"/>
          <w:color w:val="000000"/>
        </w:rPr>
        <w:t>本授权证明：</w:t>
      </w:r>
      <w:r>
        <w:rPr>
          <w:rFonts w:hint="eastAsia" w:ascii="仿宋_GB2312" w:hAnsi="宋体" w:eastAsia="仿宋_GB2312"/>
          <w:i/>
          <w:color w:val="000000"/>
          <w:u w:val="single"/>
        </w:rPr>
        <w:t xml:space="preserve">              </w:t>
      </w:r>
      <w:r>
        <w:rPr>
          <w:rFonts w:hint="eastAsia" w:ascii="仿宋_GB2312" w:hAnsi="宋体" w:eastAsia="仿宋_GB2312"/>
          <w:color w:val="000000"/>
        </w:rPr>
        <w:t>（姓名）是注册于</w:t>
      </w:r>
      <w:r>
        <w:rPr>
          <w:rFonts w:hint="eastAsia" w:ascii="仿宋_GB2312" w:hAnsi="宋体" w:eastAsia="仿宋_GB2312"/>
          <w:i/>
          <w:color w:val="000000"/>
          <w:u w:val="single"/>
        </w:rPr>
        <w:t xml:space="preserve">              </w:t>
      </w:r>
      <w:r>
        <w:rPr>
          <w:rFonts w:hint="eastAsia" w:ascii="仿宋_GB2312" w:hAnsi="宋体" w:eastAsia="仿宋_GB2312"/>
          <w:color w:val="000000"/>
        </w:rPr>
        <w:t>（地点）的</w:t>
      </w:r>
      <w:r>
        <w:rPr>
          <w:rFonts w:hint="eastAsia" w:ascii="仿宋_GB2312" w:hAnsi="宋体" w:eastAsia="仿宋_GB2312"/>
          <w:i/>
          <w:color w:val="000000"/>
          <w:u w:val="single"/>
        </w:rPr>
        <w:t xml:space="preserve">        </w:t>
      </w:r>
      <w:r>
        <w:rPr>
          <w:rFonts w:hint="eastAsia" w:ascii="仿宋_GB2312" w:hAnsi="宋体" w:eastAsia="仿宋_GB2312"/>
          <w:color w:val="000000"/>
        </w:rPr>
        <w:t>公司法定代表人，现任</w:t>
      </w:r>
      <w:r>
        <w:rPr>
          <w:rFonts w:hint="eastAsia" w:ascii="仿宋_GB2312" w:hAnsi="宋体" w:eastAsia="仿宋_GB2312"/>
          <w:i/>
          <w:color w:val="000000"/>
          <w:u w:val="single"/>
        </w:rPr>
        <w:t xml:space="preserve">         </w:t>
      </w:r>
      <w:r>
        <w:rPr>
          <w:rFonts w:hint="eastAsia" w:ascii="仿宋_GB2312" w:hAnsi="宋体" w:eastAsia="仿宋_GB2312"/>
          <w:color w:val="000000"/>
        </w:rPr>
        <w:t>。在此授权</w:t>
      </w:r>
      <w:r>
        <w:rPr>
          <w:rFonts w:hint="eastAsia" w:ascii="仿宋_GB2312" w:hAnsi="宋体" w:eastAsia="仿宋_GB2312"/>
          <w:i/>
          <w:color w:val="000000"/>
          <w:u w:val="single"/>
        </w:rPr>
        <w:t xml:space="preserve">                 </w:t>
      </w:r>
      <w:r>
        <w:rPr>
          <w:rFonts w:hint="eastAsia" w:ascii="仿宋_GB2312" w:hAnsi="宋体" w:eastAsia="仿宋_GB2312"/>
          <w:color w:val="000000"/>
        </w:rPr>
        <w:t>作为我公司的全权代理人，</w:t>
      </w:r>
    </w:p>
    <w:p>
      <w:pPr>
        <w:pStyle w:val="7"/>
        <w:ind w:firstLine="0"/>
        <w:rPr>
          <w:rFonts w:ascii="仿宋_GB2312" w:hAnsi="宋体" w:eastAsia="仿宋_GB2312"/>
          <w:color w:val="000000"/>
        </w:rPr>
      </w:pPr>
      <w:r>
        <w:rPr>
          <w:rFonts w:hint="eastAsia" w:ascii="仿宋_GB2312" w:hAnsi="宋体" w:eastAsia="仿宋_GB2312"/>
          <w:color w:val="000000"/>
        </w:rPr>
        <w:t>在</w:t>
      </w:r>
      <w:r>
        <w:rPr>
          <w:rFonts w:hint="eastAsia" w:ascii="仿宋_GB2312" w:hAnsi="宋体" w:eastAsia="仿宋_GB2312"/>
          <w:color w:val="000000"/>
          <w:u w:val="single"/>
        </w:rPr>
        <w:t xml:space="preserve">           项目</w:t>
      </w:r>
      <w:r>
        <w:rPr>
          <w:rFonts w:hint="eastAsia" w:ascii="仿宋_GB2312" w:hAnsi="宋体" w:eastAsia="仿宋_GB2312"/>
          <w:color w:val="000000"/>
        </w:rPr>
        <w:t>的竞选及其合同执行过程中，以我公司的名义处理一切与之有关的事务。</w:t>
      </w:r>
    </w:p>
    <w:p>
      <w:pPr>
        <w:spacing w:line="360" w:lineRule="auto"/>
        <w:ind w:firstLine="200"/>
        <w:rPr>
          <w:rFonts w:ascii="仿宋_GB2312" w:hAnsi="宋体" w:eastAsia="仿宋_GB2312"/>
          <w:color w:val="000000"/>
          <w:sz w:val="24"/>
          <w:szCs w:val="24"/>
        </w:rPr>
      </w:pPr>
      <w:r>
        <w:rPr>
          <w:rFonts w:hint="eastAsia" w:ascii="仿宋_GB2312" w:hAnsi="宋体" w:eastAsia="仿宋_GB2312"/>
          <w:color w:val="000000"/>
          <w:sz w:val="24"/>
          <w:szCs w:val="24"/>
        </w:rPr>
        <w:t>本授权书于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月</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日起签字生效，特此声明。</w:t>
      </w:r>
    </w:p>
    <w:p>
      <w:pPr>
        <w:spacing w:line="300" w:lineRule="auto"/>
        <w:rPr>
          <w:rFonts w:ascii="仿宋_GB2312" w:hAnsi="宋体" w:eastAsia="仿宋_GB2312"/>
          <w:color w:val="000000"/>
          <w:sz w:val="24"/>
          <w:szCs w:val="24"/>
        </w:rPr>
      </w:pPr>
    </w:p>
    <w:p>
      <w:pPr>
        <w:spacing w:line="300" w:lineRule="auto"/>
        <w:ind w:firstLine="50"/>
        <w:rPr>
          <w:rFonts w:ascii="仿宋_GB2312" w:hAnsi="宋体" w:eastAsia="仿宋_GB2312"/>
          <w:color w:val="000000"/>
          <w:sz w:val="24"/>
          <w:szCs w:val="24"/>
        </w:rPr>
      </w:pPr>
    </w:p>
    <w:p>
      <w:pPr>
        <w:spacing w:line="300" w:lineRule="auto"/>
        <w:ind w:firstLine="50"/>
        <w:rPr>
          <w:rFonts w:ascii="仿宋_GB2312" w:hAnsi="宋体" w:eastAsia="仿宋_GB2312"/>
          <w:color w:val="000000"/>
          <w:sz w:val="24"/>
          <w:szCs w:val="24"/>
        </w:rPr>
      </w:pPr>
    </w:p>
    <w:p>
      <w:pPr>
        <w:spacing w:line="300" w:lineRule="auto"/>
        <w:ind w:firstLine="50"/>
        <w:rPr>
          <w:rFonts w:ascii="仿宋_GB2312" w:hAnsi="宋体" w:eastAsia="仿宋_GB2312"/>
          <w:color w:val="000000"/>
          <w:sz w:val="24"/>
          <w:szCs w:val="24"/>
        </w:rPr>
      </w:pPr>
    </w:p>
    <w:p>
      <w:pPr>
        <w:spacing w:line="360" w:lineRule="auto"/>
        <w:ind w:firstLine="50"/>
        <w:rPr>
          <w:rFonts w:hint="eastAsia" w:ascii="仿宋_GB2312" w:hAnsi="宋体" w:eastAsia="仿宋_GB2312"/>
          <w:color w:val="000000"/>
          <w:sz w:val="24"/>
          <w:szCs w:val="24"/>
        </w:rPr>
      </w:pPr>
    </w:p>
    <w:p>
      <w:pPr>
        <w:spacing w:line="360" w:lineRule="auto"/>
        <w:ind w:firstLine="50"/>
        <w:rPr>
          <w:rFonts w:hint="eastAsia" w:ascii="仿宋_GB2312" w:hAnsi="宋体" w:eastAsia="仿宋_GB2312"/>
          <w:color w:val="000000"/>
          <w:sz w:val="24"/>
          <w:szCs w:val="24"/>
        </w:rPr>
      </w:pPr>
    </w:p>
    <w:p>
      <w:pPr>
        <w:spacing w:line="360" w:lineRule="auto"/>
        <w:ind w:firstLine="50"/>
        <w:rPr>
          <w:rFonts w:hint="eastAsia" w:ascii="仿宋_GB2312" w:hAnsi="宋体" w:eastAsia="仿宋_GB2312"/>
          <w:color w:val="000000"/>
          <w:sz w:val="24"/>
          <w:szCs w:val="24"/>
        </w:rPr>
      </w:pPr>
    </w:p>
    <w:p>
      <w:pPr>
        <w:spacing w:line="360" w:lineRule="auto"/>
        <w:ind w:firstLine="50"/>
        <w:rPr>
          <w:rFonts w:hint="eastAsia" w:ascii="仿宋_GB2312" w:hAnsi="宋体" w:eastAsia="仿宋_GB2312"/>
          <w:color w:val="000000"/>
          <w:sz w:val="24"/>
          <w:szCs w:val="24"/>
        </w:rPr>
      </w:pPr>
    </w:p>
    <w:p>
      <w:pPr>
        <w:spacing w:line="360" w:lineRule="auto"/>
        <w:ind w:firstLine="50"/>
        <w:rPr>
          <w:rFonts w:hint="eastAsia" w:ascii="仿宋_GB2312" w:hAnsi="宋体" w:eastAsia="仿宋_GB2312"/>
          <w:color w:val="000000"/>
          <w:sz w:val="24"/>
          <w:szCs w:val="24"/>
        </w:rPr>
      </w:pPr>
    </w:p>
    <w:p>
      <w:pPr>
        <w:spacing w:line="360" w:lineRule="auto"/>
        <w:ind w:firstLine="50"/>
        <w:rPr>
          <w:rFonts w:hint="eastAsia" w:ascii="仿宋_GB2312" w:hAnsi="宋体" w:eastAsia="仿宋_GB2312"/>
          <w:color w:val="000000"/>
          <w:sz w:val="24"/>
          <w:szCs w:val="24"/>
        </w:rPr>
      </w:pPr>
    </w:p>
    <w:p>
      <w:pPr>
        <w:spacing w:line="360" w:lineRule="auto"/>
        <w:ind w:firstLine="50"/>
        <w:rPr>
          <w:rFonts w:hint="eastAsia" w:ascii="仿宋_GB2312" w:hAnsi="宋体" w:eastAsia="仿宋_GB2312"/>
          <w:color w:val="000000"/>
          <w:sz w:val="24"/>
          <w:szCs w:val="24"/>
        </w:rPr>
      </w:pPr>
    </w:p>
    <w:p>
      <w:pPr>
        <w:spacing w:line="360" w:lineRule="auto"/>
        <w:ind w:firstLine="50"/>
        <w:rPr>
          <w:rFonts w:hint="eastAsia" w:ascii="仿宋_GB2312" w:hAnsi="宋体" w:eastAsia="仿宋_GB2312"/>
          <w:color w:val="000000"/>
          <w:sz w:val="24"/>
          <w:szCs w:val="24"/>
        </w:rPr>
      </w:pPr>
    </w:p>
    <w:p>
      <w:pPr>
        <w:spacing w:line="360" w:lineRule="auto"/>
        <w:ind w:firstLine="50"/>
        <w:rPr>
          <w:rFonts w:ascii="仿宋_GB2312" w:hAnsi="宋体" w:eastAsia="仿宋_GB2312"/>
          <w:color w:val="000000"/>
          <w:sz w:val="24"/>
          <w:szCs w:val="24"/>
        </w:rPr>
      </w:pPr>
      <w:r>
        <w:rPr>
          <w:rFonts w:hint="eastAsia" w:ascii="仿宋_GB2312" w:hAnsi="宋体" w:eastAsia="仿宋_GB2312"/>
          <w:color w:val="000000"/>
          <w:sz w:val="24"/>
          <w:szCs w:val="24"/>
        </w:rPr>
        <w:t xml:space="preserve">竞投人全称（公章）： </w:t>
      </w:r>
    </w:p>
    <w:p>
      <w:pPr>
        <w:spacing w:line="360" w:lineRule="auto"/>
        <w:ind w:firstLine="50"/>
        <w:rPr>
          <w:rFonts w:ascii="仿宋_GB2312" w:hAnsi="宋体" w:eastAsia="仿宋_GB2312"/>
          <w:color w:val="000000"/>
          <w:sz w:val="24"/>
          <w:szCs w:val="24"/>
        </w:rPr>
      </w:pPr>
      <w:r>
        <w:rPr>
          <w:rFonts w:hint="eastAsia" w:ascii="仿宋_GB2312" w:hAnsi="宋体" w:eastAsia="仿宋_GB2312"/>
          <w:color w:val="000000"/>
          <w:sz w:val="24"/>
          <w:szCs w:val="24"/>
        </w:rPr>
        <w:t xml:space="preserve">法定代表人（签字）：        </w:t>
      </w:r>
    </w:p>
    <w:p>
      <w:pPr>
        <w:spacing w:line="360" w:lineRule="auto"/>
        <w:ind w:firstLine="50"/>
        <w:rPr>
          <w:rFonts w:ascii="仿宋_GB2312" w:hAnsi="宋体" w:eastAsia="仿宋_GB2312"/>
          <w:color w:val="000000"/>
          <w:sz w:val="24"/>
          <w:szCs w:val="24"/>
        </w:rPr>
      </w:pPr>
      <w:r>
        <w:rPr>
          <w:rFonts w:hint="eastAsia" w:ascii="仿宋_GB2312" w:hAnsi="宋体" w:eastAsia="仿宋_GB2312"/>
          <w:color w:val="000000"/>
          <w:sz w:val="24"/>
          <w:szCs w:val="24"/>
        </w:rPr>
        <w:t>被授权人(竞投人授权代表)（签字）：</w:t>
      </w:r>
    </w:p>
    <w:p>
      <w:pPr>
        <w:spacing w:line="360" w:lineRule="auto"/>
        <w:ind w:firstLine="50"/>
        <w:rPr>
          <w:rFonts w:ascii="仿宋_GB2312" w:hAnsi="宋体" w:eastAsia="仿宋_GB2312"/>
          <w:color w:val="000000"/>
        </w:rPr>
      </w:pPr>
    </w:p>
    <w:p>
      <w:pPr>
        <w:spacing w:line="360" w:lineRule="auto"/>
        <w:ind w:firstLine="50"/>
        <w:rPr>
          <w:rFonts w:ascii="仿宋_GB2312" w:eastAsia="仿宋_GB2312"/>
          <w:sz w:val="21"/>
          <w:szCs w:val="21"/>
        </w:rPr>
      </w:pPr>
      <w:r>
        <w:rPr>
          <w:rFonts w:hint="eastAsia" w:ascii="仿宋_GB2312" w:hAnsi="宋体" w:eastAsia="仿宋_GB2312"/>
          <w:color w:val="000000"/>
        </w:rPr>
        <w:t>法定代表人及被授权人身份证复印件（正反面）：</w:t>
      </w:r>
      <w:r>
        <w:br w:type="page"/>
      </w:r>
      <w:r>
        <w:rPr>
          <w:rFonts w:hint="eastAsia" w:ascii="仿宋_GB2312" w:eastAsia="仿宋_GB2312"/>
          <w:b w:val="0"/>
          <w:sz w:val="24"/>
          <w:szCs w:val="24"/>
        </w:rPr>
        <w:t>附件4：报价汇总表</w:t>
      </w:r>
    </w:p>
    <w:p>
      <w:pPr>
        <w:pStyle w:val="3"/>
        <w:jc w:val="center"/>
        <w:rPr>
          <w:rFonts w:ascii="仿宋_GB2312" w:hAnsi="宋体" w:eastAsia="仿宋_GB2312" w:cs="宋体"/>
          <w:b w:val="0"/>
        </w:rPr>
      </w:pPr>
      <w:r>
        <w:rPr>
          <w:rFonts w:hint="eastAsia" w:ascii="仿宋_GB2312" w:hAnsi="宋体" w:eastAsia="仿宋_GB2312" w:cs="宋体"/>
        </w:rPr>
        <w:t>报价汇总表（含税费）</w:t>
      </w:r>
    </w:p>
    <w:p>
      <w:pPr>
        <w:rPr>
          <w:rFonts w:ascii="仿宋_GB2312" w:hAnsi="宋体" w:eastAsia="仿宋_GB2312" w:cs="Tahoma"/>
        </w:rPr>
      </w:pPr>
      <w:r>
        <w:rPr>
          <w:rFonts w:hint="eastAsia" w:ascii="仿宋_GB2312" w:hAnsi="宋体" w:eastAsia="仿宋_GB2312" w:cs="Tahoma"/>
        </w:rPr>
        <w:t>项目名称：</w:t>
      </w:r>
      <w:r>
        <w:rPr>
          <w:rFonts w:hint="eastAsia" w:ascii="仿宋" w:hAnsi="仿宋" w:eastAsia="仿宋"/>
          <w:lang w:eastAsia="zh-CN"/>
        </w:rPr>
        <w:t>广州城投·禧悦府道路指示蓝白牌&amp;包柱户外广告投放服务</w:t>
      </w:r>
      <w:r>
        <w:rPr>
          <w:rFonts w:hint="eastAsia" w:ascii="仿宋_GB2312" w:hAnsi="宋体" w:eastAsia="仿宋_GB2312" w:cs="Tahoma"/>
        </w:rPr>
        <w:t>项目</w:t>
      </w:r>
    </w:p>
    <w:p>
      <w:pPr>
        <w:spacing w:line="360" w:lineRule="auto"/>
        <w:rPr>
          <w:rFonts w:ascii="仿宋_GB2312" w:hAnsi="宋体" w:eastAsia="仿宋_GB2312" w:cs="Tahoma"/>
        </w:rPr>
      </w:pPr>
      <w:r>
        <w:rPr>
          <w:rFonts w:hint="eastAsia" w:ascii="仿宋_GB2312" w:hAnsi="宋体" w:eastAsia="仿宋_GB2312" w:cs="Tahoma"/>
        </w:rPr>
        <w:t xml:space="preserve">     </w:t>
      </w:r>
      <w:r>
        <w:rPr>
          <w:rFonts w:hint="eastAsia" w:ascii="仿宋_GB2312" w:hAnsi="仿宋_GB2312" w:eastAsia="仿宋_GB2312" w:cs="仿宋_GB2312"/>
        </w:rPr>
        <w:t xml:space="preserve">   </w:t>
      </w:r>
      <w:r>
        <w:rPr>
          <w:rFonts w:hint="eastAsia" w:ascii="仿宋_GB2312" w:hAnsi="宋体" w:eastAsia="仿宋_GB2312" w:cs="Tahoma"/>
        </w:rPr>
        <w:t xml:space="preserve">                                                   </w:t>
      </w:r>
      <w:r>
        <w:rPr>
          <w:rFonts w:hint="eastAsia" w:ascii="仿宋_GB2312" w:hAnsi="仿宋_GB2312" w:eastAsia="仿宋_GB2312" w:cs="仿宋_GB2312"/>
        </w:rPr>
        <w:t>[货币单位：人民币元]</w:t>
      </w:r>
    </w:p>
    <w:p>
      <w:p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项目报价：</w:t>
      </w:r>
      <w:r>
        <w:rPr>
          <w:rFonts w:ascii="仿宋_GB2312" w:hAnsi="仿宋_GB2312" w:eastAsia="仿宋_GB2312" w:cs="仿宋_GB2312"/>
        </w:rPr>
        <w:t xml:space="preserve"> </w:t>
      </w:r>
    </w:p>
    <w:tbl>
      <w:tblPr>
        <w:tblStyle w:val="16"/>
        <w:tblW w:w="8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2306"/>
        <w:gridCol w:w="727"/>
        <w:gridCol w:w="846"/>
        <w:gridCol w:w="821"/>
        <w:gridCol w:w="1274"/>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8584" w:type="dxa"/>
            <w:gridSpan w:val="7"/>
            <w:vAlign w:val="center"/>
          </w:tcPr>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报价单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8584" w:type="dxa"/>
            <w:gridSpan w:val="7"/>
            <w:vAlign w:val="center"/>
          </w:tcPr>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 xml:space="preserve">道路指示蓝白牌  </w:t>
            </w:r>
          </w:p>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投放位置：</w:t>
            </w:r>
            <w:r>
              <w:rPr>
                <w:rFonts w:hint="eastAsia" w:ascii="仿宋" w:hAnsi="仿宋" w:eastAsia="仿宋" w:cs="仿宋"/>
                <w:sz w:val="21"/>
                <w:szCs w:val="21"/>
                <w:lang w:eastAsia="zh-CN"/>
              </w:rPr>
              <w:t>待定；</w:t>
            </w:r>
            <w:r>
              <w:rPr>
                <w:rFonts w:hint="eastAsia" w:ascii="仿宋" w:hAnsi="仿宋" w:eastAsia="仿宋" w:cs="仿宋"/>
                <w:sz w:val="21"/>
                <w:szCs w:val="21"/>
                <w:lang w:val="en-US" w:eastAsia="zh-CN"/>
              </w:rPr>
              <w:t xml:space="preserve">    </w:t>
            </w:r>
            <w:r>
              <w:rPr>
                <w:rFonts w:hint="eastAsia" w:ascii="仿宋" w:hAnsi="仿宋" w:eastAsia="仿宋" w:cs="仿宋"/>
                <w:b w:val="0"/>
                <w:sz w:val="21"/>
                <w:szCs w:val="21"/>
                <w:lang w:val="en-US" w:eastAsia="zh-CN"/>
              </w:rPr>
              <w:t>媒体尺寸：长0.8米X2.4米高（按实际调整）；</w:t>
            </w:r>
          </w:p>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 xml:space="preserve">包柱 </w:t>
            </w:r>
          </w:p>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投放位置：</w:t>
            </w:r>
            <w:r>
              <w:rPr>
                <w:rFonts w:hint="eastAsia" w:ascii="仿宋" w:hAnsi="仿宋" w:eastAsia="仿宋" w:cs="仿宋"/>
                <w:sz w:val="21"/>
                <w:szCs w:val="21"/>
                <w:lang w:eastAsia="zh-CN"/>
              </w:rPr>
              <w:t>待定；</w:t>
            </w:r>
            <w:r>
              <w:rPr>
                <w:rFonts w:hint="eastAsia" w:ascii="仿宋" w:hAnsi="仿宋" w:eastAsia="仿宋" w:cs="仿宋"/>
                <w:sz w:val="21"/>
                <w:szCs w:val="21"/>
                <w:lang w:val="en-US" w:eastAsia="zh-CN"/>
              </w:rPr>
              <w:t xml:space="preserve">    </w:t>
            </w:r>
            <w:r>
              <w:rPr>
                <w:rFonts w:hint="eastAsia" w:ascii="仿宋" w:hAnsi="仿宋" w:eastAsia="仿宋" w:cs="仿宋"/>
                <w:b w:val="0"/>
                <w:sz w:val="21"/>
                <w:szCs w:val="21"/>
                <w:lang w:val="en-US" w:eastAsia="zh-CN"/>
              </w:rPr>
              <w:t xml:space="preserve">媒体尺寸：高3.2米X2米宽 侧面高3.2米1.2米宽（按实际调整）； </w:t>
            </w:r>
          </w:p>
          <w:p>
            <w:pPr>
              <w:jc w:val="both"/>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报价要求：报价包含上画费、广告发布费、维护工作所需的全部人工费、材料费、媒体占用管理费、税金等全部费用。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769"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媒体形式</w:t>
            </w:r>
          </w:p>
        </w:tc>
        <w:tc>
          <w:tcPr>
            <w:tcW w:w="2306"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投放位置</w:t>
            </w:r>
          </w:p>
        </w:tc>
        <w:tc>
          <w:tcPr>
            <w:tcW w:w="727"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数量</w:t>
            </w:r>
          </w:p>
        </w:tc>
        <w:tc>
          <w:tcPr>
            <w:tcW w:w="846"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单价</w:t>
            </w:r>
          </w:p>
        </w:tc>
        <w:tc>
          <w:tcPr>
            <w:tcW w:w="821"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周期</w:t>
            </w:r>
          </w:p>
        </w:tc>
        <w:tc>
          <w:tcPr>
            <w:tcW w:w="1274"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价格（元）</w:t>
            </w:r>
          </w:p>
        </w:tc>
        <w:tc>
          <w:tcPr>
            <w:tcW w:w="841"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769"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 xml:space="preserve">道路指示蓝白牌 </w:t>
            </w:r>
          </w:p>
        </w:tc>
        <w:tc>
          <w:tcPr>
            <w:tcW w:w="2306"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sz w:val="21"/>
                <w:szCs w:val="21"/>
                <w:lang w:eastAsia="zh-CN"/>
              </w:rPr>
              <w:t>待定</w:t>
            </w:r>
          </w:p>
        </w:tc>
        <w:tc>
          <w:tcPr>
            <w:tcW w:w="727"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12块</w:t>
            </w:r>
          </w:p>
        </w:tc>
        <w:tc>
          <w:tcPr>
            <w:tcW w:w="846"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元/月</w:t>
            </w:r>
          </w:p>
        </w:tc>
        <w:tc>
          <w:tcPr>
            <w:tcW w:w="821" w:type="dxa"/>
            <w:vMerge w:val="restart"/>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6个月</w:t>
            </w:r>
          </w:p>
        </w:tc>
        <w:tc>
          <w:tcPr>
            <w:tcW w:w="1274" w:type="dxa"/>
            <w:vAlign w:val="center"/>
          </w:tcPr>
          <w:p>
            <w:pPr>
              <w:jc w:val="center"/>
              <w:rPr>
                <w:rFonts w:hint="eastAsia" w:ascii="仿宋" w:hAnsi="仿宋" w:eastAsia="仿宋" w:cs="仿宋"/>
                <w:b w:val="0"/>
                <w:sz w:val="21"/>
                <w:szCs w:val="21"/>
                <w:lang w:val="en-US" w:eastAsia="zh-CN"/>
              </w:rPr>
            </w:pPr>
          </w:p>
        </w:tc>
        <w:tc>
          <w:tcPr>
            <w:tcW w:w="841" w:type="dxa"/>
            <w:vAlign w:val="center"/>
          </w:tcPr>
          <w:p>
            <w:pPr>
              <w:jc w:val="both"/>
              <w:rPr>
                <w:rFonts w:hint="eastAsia" w:ascii="仿宋" w:hAnsi="仿宋" w:eastAsia="仿宋" w:cs="仿宋"/>
                <w:b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769"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 xml:space="preserve">包柱 </w:t>
            </w:r>
          </w:p>
        </w:tc>
        <w:tc>
          <w:tcPr>
            <w:tcW w:w="2306" w:type="dxa"/>
            <w:vAlign w:val="center"/>
          </w:tcPr>
          <w:p>
            <w:pPr>
              <w:jc w:val="center"/>
              <w:rPr>
                <w:rFonts w:hint="eastAsia" w:ascii="仿宋" w:hAnsi="仿宋" w:eastAsia="仿宋" w:cs="仿宋"/>
                <w:b w:val="0"/>
                <w:sz w:val="21"/>
                <w:szCs w:val="21"/>
                <w:lang w:val="en-US" w:eastAsia="zh-CN" w:bidi="ar-SA"/>
              </w:rPr>
            </w:pPr>
            <w:r>
              <w:rPr>
                <w:rFonts w:hint="eastAsia" w:ascii="仿宋" w:hAnsi="仿宋" w:eastAsia="仿宋" w:cs="仿宋"/>
                <w:b w:val="0"/>
                <w:sz w:val="21"/>
                <w:szCs w:val="21"/>
                <w:lang w:val="en-US" w:eastAsia="zh-CN"/>
              </w:rPr>
              <w:t>待定</w:t>
            </w:r>
          </w:p>
        </w:tc>
        <w:tc>
          <w:tcPr>
            <w:tcW w:w="727" w:type="dxa"/>
            <w:vAlign w:val="center"/>
          </w:tcPr>
          <w:p>
            <w:pPr>
              <w:jc w:val="center"/>
              <w:rPr>
                <w:rFonts w:hint="eastAsia" w:ascii="仿宋" w:hAnsi="仿宋" w:eastAsia="仿宋" w:cs="仿宋"/>
                <w:b w:val="0"/>
                <w:sz w:val="21"/>
                <w:szCs w:val="21"/>
                <w:lang w:val="en-US" w:eastAsia="zh-CN" w:bidi="ar-SA"/>
              </w:rPr>
            </w:pPr>
            <w:r>
              <w:rPr>
                <w:rFonts w:hint="eastAsia" w:ascii="仿宋" w:hAnsi="仿宋" w:eastAsia="仿宋" w:cs="仿宋"/>
                <w:b w:val="0"/>
                <w:sz w:val="21"/>
                <w:szCs w:val="21"/>
                <w:lang w:val="en-US" w:eastAsia="zh-CN" w:bidi="ar-SA"/>
              </w:rPr>
              <w:t>8根</w:t>
            </w:r>
          </w:p>
        </w:tc>
        <w:tc>
          <w:tcPr>
            <w:tcW w:w="846" w:type="dxa"/>
            <w:vAlign w:val="center"/>
          </w:tcPr>
          <w:p>
            <w:pPr>
              <w:jc w:val="center"/>
              <w:rPr>
                <w:rFonts w:hint="eastAsia" w:ascii="仿宋" w:hAnsi="仿宋" w:eastAsia="仿宋" w:cs="仿宋"/>
                <w:b w:val="0"/>
                <w:sz w:val="21"/>
                <w:szCs w:val="21"/>
                <w:lang w:val="en-US" w:eastAsia="zh-CN" w:bidi="ar-SA"/>
              </w:rPr>
            </w:pPr>
            <w:r>
              <w:rPr>
                <w:rFonts w:hint="eastAsia" w:ascii="仿宋" w:hAnsi="仿宋" w:eastAsia="仿宋" w:cs="仿宋"/>
                <w:b w:val="0"/>
                <w:sz w:val="21"/>
                <w:szCs w:val="21"/>
                <w:lang w:val="en-US" w:eastAsia="zh-CN"/>
              </w:rPr>
              <w:t>元/月</w:t>
            </w:r>
          </w:p>
        </w:tc>
        <w:tc>
          <w:tcPr>
            <w:tcW w:w="821" w:type="dxa"/>
            <w:vMerge w:val="continue"/>
            <w:vAlign w:val="center"/>
          </w:tcPr>
          <w:p/>
        </w:tc>
        <w:tc>
          <w:tcPr>
            <w:tcW w:w="1274" w:type="dxa"/>
            <w:vAlign w:val="center"/>
          </w:tcPr>
          <w:p>
            <w:pPr>
              <w:jc w:val="center"/>
              <w:rPr>
                <w:rFonts w:hint="eastAsia" w:ascii="仿宋" w:hAnsi="仿宋" w:eastAsia="仿宋" w:cs="仿宋"/>
                <w:b w:val="0"/>
                <w:sz w:val="21"/>
                <w:szCs w:val="21"/>
                <w:lang w:val="en-US" w:eastAsia="zh-CN" w:bidi="ar-SA"/>
              </w:rPr>
            </w:pPr>
          </w:p>
        </w:tc>
        <w:tc>
          <w:tcPr>
            <w:tcW w:w="841" w:type="dxa"/>
            <w:vAlign w:val="center"/>
          </w:tcPr>
          <w:p>
            <w:pPr>
              <w:jc w:val="both"/>
              <w:rPr>
                <w:rFonts w:hint="eastAsia" w:ascii="仿宋" w:hAnsi="仿宋" w:eastAsia="仿宋" w:cs="仿宋"/>
                <w:b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6469" w:type="dxa"/>
            <w:gridSpan w:val="5"/>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合计总价</w:t>
            </w:r>
          </w:p>
        </w:tc>
        <w:tc>
          <w:tcPr>
            <w:tcW w:w="1274" w:type="dxa"/>
            <w:vAlign w:val="center"/>
          </w:tcPr>
          <w:p>
            <w:pPr>
              <w:jc w:val="cente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元</w:t>
            </w:r>
          </w:p>
        </w:tc>
        <w:tc>
          <w:tcPr>
            <w:tcW w:w="841" w:type="dxa"/>
            <w:vAlign w:val="center"/>
          </w:tcPr>
          <w:p>
            <w:pPr>
              <w:jc w:val="both"/>
              <w:rPr>
                <w:rFonts w:hint="eastAsia" w:ascii="仿宋" w:hAnsi="仿宋" w:eastAsia="仿宋" w:cs="仿宋"/>
                <w:b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8584" w:type="dxa"/>
            <w:gridSpan w:val="7"/>
            <w:vAlign w:val="center"/>
          </w:tcPr>
          <w:p>
            <w:pPr>
              <w:numPr>
                <w:ilvl w:val="0"/>
                <w:numId w:val="0"/>
              </w:numPr>
              <w:spacing w:line="360" w:lineRule="auto"/>
              <w:ind w:left="2205" w:leftChars="1050" w:right="0" w:firstLine="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增值服务：</w:t>
            </w:r>
          </w:p>
        </w:tc>
      </w:tr>
    </w:tbl>
    <w:p>
      <w:pPr>
        <w:pStyle w:val="14"/>
        <w:ind w:left="0" w:firstLine="0"/>
      </w:pPr>
    </w:p>
    <w:p>
      <w:pPr>
        <w:numPr>
          <w:ilvl w:val="0"/>
          <w:numId w:val="14"/>
        </w:num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含税总报价：</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元，大写：</w:t>
      </w:r>
    </w:p>
    <w:p>
      <w:pPr>
        <w:numPr>
          <w:ilvl w:val="0"/>
          <w:numId w:val="14"/>
        </w:num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不含税总报价：</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元，大写：</w:t>
      </w:r>
    </w:p>
    <w:p>
      <w:pPr>
        <w:numPr>
          <w:ilvl w:val="0"/>
          <w:numId w:val="14"/>
        </w:num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增值税税额：</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元，税率：</w:t>
      </w:r>
      <w:r>
        <w:rPr>
          <w:rFonts w:hint="eastAsia" w:ascii="仿宋_GB2312" w:hAnsi="仿宋_GB2312" w:eastAsia="仿宋_GB2312" w:cs="仿宋_GB2312"/>
          <w:u w:val="single"/>
        </w:rPr>
        <w:t xml:space="preserve">    %</w:t>
      </w:r>
    </w:p>
    <w:p>
      <w:pPr>
        <w:spacing w:line="360" w:lineRule="auto"/>
        <w:ind w:left="617" w:hanging="617"/>
        <w:jc w:val="left"/>
        <w:rPr>
          <w:rFonts w:ascii="仿宋_GB2312" w:hAnsi="仿宋_GB2312" w:eastAsia="仿宋_GB2312" w:cs="仿宋_GB2312"/>
        </w:rPr>
      </w:pPr>
    </w:p>
    <w:p>
      <w:pPr>
        <w:spacing w:line="360" w:lineRule="auto"/>
        <w:ind w:left="620" w:hanging="620"/>
        <w:jc w:val="left"/>
        <w:rPr>
          <w:rFonts w:ascii="仿宋_GB2312" w:hAnsi="仿宋_GB2312" w:eastAsia="仿宋_GB2312" w:cs="仿宋_GB2312"/>
          <w:b/>
        </w:rPr>
      </w:pPr>
      <w:r>
        <w:rPr>
          <w:rFonts w:hint="eastAsia" w:ascii="仿宋_GB2312" w:hAnsi="仿宋_GB2312" w:eastAsia="仿宋_GB2312" w:cs="仿宋_GB2312"/>
          <w:b/>
        </w:rPr>
        <w:t>备注：竞投单位在竞选公告期间已联系招选单位工作人员进行现场核实，位置经双方确认无误。</w:t>
      </w:r>
    </w:p>
    <w:p>
      <w:p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注：1.此表为完成采购项目所有服务内容的总报价明细表，如有缺项、漏项，视为竞投报价中已包含相关费用，采购人无须另外支付任何费用；</w:t>
      </w:r>
    </w:p>
    <w:p>
      <w:p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 xml:space="preserve">     3.竞投总报价包括了竞投人完成本项目所需的一切工作内容而发生的所有费用；</w:t>
      </w:r>
    </w:p>
    <w:p>
      <w:p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 xml:space="preserve">     4.本竞投价为按实结算；</w:t>
      </w:r>
    </w:p>
    <w:p>
      <w:p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 xml:space="preserve">     5.报价以人民币元为单位，保留小数点后两位；</w:t>
      </w:r>
    </w:p>
    <w:p>
      <w:pPr>
        <w:spacing w:line="360" w:lineRule="auto"/>
        <w:ind w:left="617" w:hanging="617"/>
        <w:jc w:val="left"/>
        <w:rPr>
          <w:rFonts w:ascii="仿宋_GB2312" w:hAnsi="仿宋_GB2312" w:eastAsia="仿宋_GB2312" w:cs="仿宋_GB2312"/>
        </w:rPr>
      </w:pPr>
      <w:r>
        <w:rPr>
          <w:rFonts w:hint="eastAsia" w:ascii="仿宋_GB2312" w:hAnsi="仿宋_GB2312" w:eastAsia="仿宋_GB2312" w:cs="仿宋_GB2312"/>
        </w:rPr>
        <w:t xml:space="preserve">     6.本表格须附在正副的竞投文件中；</w:t>
      </w:r>
    </w:p>
    <w:p>
      <w:pPr>
        <w:spacing w:line="360" w:lineRule="auto"/>
        <w:jc w:val="left"/>
        <w:rPr>
          <w:rFonts w:ascii="仿宋_GB2312" w:hAnsi="仿宋_GB2312" w:eastAsia="仿宋_GB2312" w:cs="仿宋_GB2312"/>
        </w:rPr>
      </w:pPr>
      <w:r>
        <w:rPr>
          <w:rFonts w:hint="eastAsia" w:ascii="仿宋_GB2312" w:hAnsi="仿宋_GB2312" w:eastAsia="仿宋_GB2312" w:cs="仿宋_GB2312"/>
        </w:rPr>
        <w:t xml:space="preserve">     7.本表格式仅作参考，竞投人的详细报价表格式可自定。</w:t>
      </w:r>
    </w:p>
    <w:p>
      <w:pPr>
        <w:spacing w:line="360" w:lineRule="auto"/>
        <w:jc w:val="left"/>
        <w:rPr>
          <w:rFonts w:ascii="仿宋_GB2312" w:hAnsi="仿宋_GB2312" w:eastAsia="仿宋_GB2312" w:cs="仿宋_GB2312"/>
        </w:rPr>
      </w:pPr>
    </w:p>
    <w:p>
      <w:pPr>
        <w:spacing w:line="440" w:lineRule="exact"/>
        <w:ind w:firstLine="100"/>
        <w:rPr>
          <w:rFonts w:ascii="仿宋_GB2312" w:hAnsi="宋体" w:eastAsia="仿宋_GB2312"/>
        </w:rPr>
      </w:pPr>
      <w:r>
        <w:rPr>
          <w:rFonts w:hint="eastAsia" w:ascii="仿宋_GB2312" w:hAnsi="宋体" w:eastAsia="仿宋_GB2312"/>
        </w:rPr>
        <w:t>竞投人全称（公章）:</w:t>
      </w:r>
    </w:p>
    <w:p>
      <w:pPr>
        <w:tabs>
          <w:tab w:val="left" w:pos="3600"/>
        </w:tabs>
        <w:spacing w:line="440" w:lineRule="exact"/>
        <w:ind w:firstLine="100"/>
        <w:rPr>
          <w:rFonts w:ascii="仿宋_GB2312" w:hAnsi="宋体" w:eastAsia="仿宋_GB2312"/>
        </w:rPr>
      </w:pPr>
      <w:r>
        <w:rPr>
          <w:rFonts w:hint="eastAsia" w:ascii="仿宋_GB2312" w:hAnsi="宋体" w:eastAsia="仿宋_GB2312"/>
        </w:rPr>
        <w:t>法定代表人或其竞投人授权代表(签字)：</w:t>
      </w:r>
    </w:p>
    <w:p>
      <w:pPr>
        <w:spacing w:before="120" w:after="120" w:line="440" w:lineRule="exact"/>
        <w:ind w:firstLine="100"/>
        <w:rPr>
          <w:rFonts w:ascii="仿宋_GB2312" w:hAnsi="宋体" w:eastAsia="仿宋_GB2312"/>
        </w:rPr>
      </w:pPr>
      <w:r>
        <w:rPr>
          <w:rFonts w:hint="eastAsia" w:ascii="仿宋_GB2312" w:hAnsi="宋体" w:eastAsia="仿宋_GB2312"/>
        </w:rPr>
        <w:t>日    期：         年      月     日</w:t>
      </w:r>
    </w:p>
    <w:p>
      <w:pPr>
        <w:rPr>
          <w:rFonts w:ascii="仿宋_GB2312" w:eastAsia="仿宋_GB2312"/>
        </w:rPr>
      </w:pPr>
      <w:r>
        <w:br w:type="page"/>
      </w:r>
      <w:r>
        <w:rPr>
          <w:rFonts w:hint="eastAsia" w:ascii="仿宋_GB2312" w:eastAsia="仿宋_GB2312"/>
          <w:sz w:val="24"/>
          <w:szCs w:val="24"/>
        </w:rPr>
        <w:t>附件5：其他资料</w:t>
      </w:r>
    </w:p>
    <w:p>
      <w:pPr>
        <w:spacing w:line="440" w:lineRule="exact"/>
        <w:ind w:left="185" w:leftChars="88" w:firstLine="0"/>
        <w:rPr>
          <w:rFonts w:ascii="仿宋_GB2312" w:eastAsia="仿宋_GB2312"/>
        </w:rPr>
      </w:pPr>
      <w:r>
        <w:rPr>
          <w:rFonts w:hint="eastAsia" w:ascii="仿宋_GB2312" w:eastAsia="仿宋_GB2312"/>
        </w:rPr>
        <w:t xml:space="preserve">          </w:t>
      </w:r>
    </w:p>
    <w:p>
      <w:pPr>
        <w:spacing w:line="440" w:lineRule="exact"/>
        <w:ind w:left="185" w:leftChars="88" w:firstLine="0"/>
        <w:rPr>
          <w:rFonts w:ascii="仿宋_GB2312" w:eastAsia="仿宋_GB2312"/>
        </w:rPr>
      </w:pPr>
      <w:r>
        <w:rPr>
          <w:rFonts w:hint="eastAsia" w:ascii="仿宋_GB2312" w:eastAsia="仿宋_GB2312"/>
          <w:sz w:val="28"/>
          <w:szCs w:val="28"/>
        </w:rPr>
        <w:t>1.企业营业执照复印件（盖章）</w:t>
      </w:r>
    </w:p>
    <w:p>
      <w:pPr>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3"/>
        <w:jc w:val="center"/>
        <w:rPr>
          <w:rFonts w:ascii="宋体" w:hAnsi="宋体" w:eastAsia="宋体" w:cs="宋体"/>
        </w:rPr>
      </w:pPr>
      <w:bookmarkStart w:id="12" w:name="OLE_LINK1"/>
      <w:r>
        <w:rPr>
          <w:rFonts w:hint="eastAsia" w:ascii="宋体" w:hAnsi="宋体" w:eastAsia="宋体" w:cs="宋体"/>
        </w:rPr>
        <w:t>公司近两年同类项目业绩情况一览表</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6"/>
        <w:gridCol w:w="1261"/>
        <w:gridCol w:w="3360"/>
        <w:gridCol w:w="1448"/>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序号</w:t>
            </w:r>
          </w:p>
        </w:tc>
        <w:tc>
          <w:tcPr>
            <w:tcW w:w="1298"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采购人</w:t>
            </w:r>
          </w:p>
          <w:p>
            <w:pPr>
              <w:spacing w:line="400" w:lineRule="exact"/>
              <w:jc w:val="center"/>
              <w:rPr>
                <w:rFonts w:ascii="仿宋_GB2312" w:eastAsia="仿宋_GB2312"/>
                <w:b/>
                <w:sz w:val="24"/>
                <w:szCs w:val="24"/>
              </w:rPr>
            </w:pPr>
            <w:r>
              <w:rPr>
                <w:rFonts w:hint="eastAsia" w:ascii="仿宋_GB2312" w:eastAsia="仿宋_GB2312"/>
                <w:b/>
                <w:sz w:val="24"/>
                <w:szCs w:val="24"/>
              </w:rPr>
              <w:t>名称</w:t>
            </w:r>
          </w:p>
        </w:tc>
        <w:tc>
          <w:tcPr>
            <w:tcW w:w="3493"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项目名称</w:t>
            </w:r>
          </w:p>
        </w:tc>
        <w:tc>
          <w:tcPr>
            <w:tcW w:w="1485"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合同总价</w:t>
            </w:r>
          </w:p>
          <w:p>
            <w:pPr>
              <w:spacing w:line="400" w:lineRule="exact"/>
              <w:jc w:val="center"/>
              <w:rPr>
                <w:rFonts w:ascii="仿宋_GB2312" w:eastAsia="仿宋_GB2312"/>
                <w:b/>
                <w:sz w:val="24"/>
                <w:szCs w:val="24"/>
              </w:rPr>
            </w:pPr>
            <w:r>
              <w:rPr>
                <w:rFonts w:hint="eastAsia" w:ascii="仿宋_GB2312" w:eastAsia="仿宋_GB2312"/>
                <w:b/>
              </w:rPr>
              <w:t>（单位/万元）</w:t>
            </w:r>
          </w:p>
        </w:tc>
        <w:tc>
          <w:tcPr>
            <w:tcW w:w="1524" w:type="dxa"/>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项目时间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rPr>
            </w:pPr>
          </w:p>
        </w:tc>
        <w:tc>
          <w:tcPr>
            <w:tcW w:w="3493" w:type="dxa"/>
            <w:vAlign w:val="top"/>
          </w:tcPr>
          <w:p>
            <w:pPr>
              <w:spacing w:line="400" w:lineRule="exact"/>
              <w:jc w:val="center"/>
              <w:rPr>
                <w:rFonts w:ascii="仿宋_GB2312" w:eastAsia="仿宋_GB2312"/>
              </w:rPr>
            </w:pPr>
          </w:p>
        </w:tc>
        <w:tc>
          <w:tcPr>
            <w:tcW w:w="1485" w:type="dxa"/>
            <w:vAlign w:val="center"/>
          </w:tcPr>
          <w:p>
            <w:pPr>
              <w:spacing w:line="400" w:lineRule="exact"/>
              <w:jc w:val="center"/>
              <w:rPr>
                <w:rFonts w:ascii="仿宋_GB2312" w:eastAsia="仿宋_GB2312"/>
              </w:rPr>
            </w:pPr>
          </w:p>
        </w:tc>
        <w:tc>
          <w:tcPr>
            <w:tcW w:w="1524" w:type="dxa"/>
            <w:vAlign w:val="center"/>
          </w:tcPr>
          <w:p>
            <w:pPr>
              <w:spacing w:line="400" w:lineRule="exact"/>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rPr>
            </w:pPr>
          </w:p>
        </w:tc>
        <w:tc>
          <w:tcPr>
            <w:tcW w:w="3493" w:type="dxa"/>
            <w:vAlign w:val="top"/>
          </w:tcPr>
          <w:p>
            <w:pPr>
              <w:spacing w:line="400" w:lineRule="exact"/>
              <w:jc w:val="center"/>
              <w:rPr>
                <w:rFonts w:ascii="仿宋_GB2312" w:eastAsia="仿宋_GB2312"/>
              </w:rPr>
            </w:pPr>
          </w:p>
        </w:tc>
        <w:tc>
          <w:tcPr>
            <w:tcW w:w="1485" w:type="dxa"/>
            <w:vAlign w:val="center"/>
          </w:tcPr>
          <w:p>
            <w:pPr>
              <w:spacing w:line="400" w:lineRule="exact"/>
              <w:jc w:val="center"/>
              <w:rPr>
                <w:rFonts w:ascii="仿宋_GB2312" w:eastAsia="仿宋_GB2312"/>
              </w:rPr>
            </w:pPr>
          </w:p>
        </w:tc>
        <w:tc>
          <w:tcPr>
            <w:tcW w:w="1524" w:type="dxa"/>
            <w:vAlign w:val="center"/>
          </w:tcPr>
          <w:p>
            <w:pPr>
              <w:spacing w:line="400" w:lineRule="exact"/>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rPr>
            </w:pPr>
          </w:p>
        </w:tc>
        <w:tc>
          <w:tcPr>
            <w:tcW w:w="3493" w:type="dxa"/>
            <w:vAlign w:val="top"/>
          </w:tcPr>
          <w:p>
            <w:pPr>
              <w:spacing w:line="400" w:lineRule="exact"/>
              <w:jc w:val="center"/>
              <w:rPr>
                <w:rFonts w:ascii="仿宋_GB2312" w:eastAsia="仿宋_GB2312"/>
              </w:rPr>
            </w:pPr>
          </w:p>
        </w:tc>
        <w:tc>
          <w:tcPr>
            <w:tcW w:w="1485" w:type="dxa"/>
            <w:vAlign w:val="center"/>
          </w:tcPr>
          <w:p>
            <w:pPr>
              <w:spacing w:line="400" w:lineRule="exact"/>
              <w:jc w:val="center"/>
              <w:rPr>
                <w:rFonts w:ascii="仿宋_GB2312" w:eastAsia="仿宋_GB2312"/>
              </w:rPr>
            </w:pPr>
          </w:p>
        </w:tc>
        <w:tc>
          <w:tcPr>
            <w:tcW w:w="1524" w:type="dxa"/>
            <w:vAlign w:val="center"/>
          </w:tcPr>
          <w:p>
            <w:pPr>
              <w:spacing w:line="400" w:lineRule="exact"/>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rPr>
            </w:pPr>
          </w:p>
        </w:tc>
        <w:tc>
          <w:tcPr>
            <w:tcW w:w="3493" w:type="dxa"/>
            <w:vAlign w:val="top"/>
          </w:tcPr>
          <w:p>
            <w:pPr>
              <w:spacing w:line="400" w:lineRule="exact"/>
              <w:jc w:val="center"/>
              <w:rPr>
                <w:rFonts w:ascii="仿宋_GB2312" w:eastAsia="仿宋_GB2312"/>
              </w:rPr>
            </w:pPr>
          </w:p>
        </w:tc>
        <w:tc>
          <w:tcPr>
            <w:tcW w:w="1485" w:type="dxa"/>
            <w:vAlign w:val="center"/>
          </w:tcPr>
          <w:p>
            <w:pPr>
              <w:spacing w:line="400" w:lineRule="exact"/>
              <w:jc w:val="center"/>
              <w:rPr>
                <w:rFonts w:ascii="仿宋_GB2312" w:eastAsia="仿宋_GB2312"/>
              </w:rPr>
            </w:pPr>
          </w:p>
        </w:tc>
        <w:tc>
          <w:tcPr>
            <w:tcW w:w="1524" w:type="dxa"/>
            <w:vAlign w:val="center"/>
          </w:tcPr>
          <w:p>
            <w:pPr>
              <w:spacing w:line="400" w:lineRule="exact"/>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rPr>
            </w:pPr>
          </w:p>
        </w:tc>
        <w:tc>
          <w:tcPr>
            <w:tcW w:w="3493" w:type="dxa"/>
            <w:vAlign w:val="top"/>
          </w:tcPr>
          <w:p>
            <w:pPr>
              <w:spacing w:line="400" w:lineRule="exact"/>
              <w:jc w:val="center"/>
              <w:rPr>
                <w:rFonts w:ascii="仿宋_GB2312" w:eastAsia="仿宋_GB2312"/>
              </w:rPr>
            </w:pPr>
          </w:p>
        </w:tc>
        <w:tc>
          <w:tcPr>
            <w:tcW w:w="1485" w:type="dxa"/>
            <w:vAlign w:val="center"/>
          </w:tcPr>
          <w:p>
            <w:pPr>
              <w:spacing w:line="400" w:lineRule="exact"/>
              <w:jc w:val="center"/>
              <w:rPr>
                <w:rFonts w:ascii="仿宋_GB2312" w:eastAsia="仿宋_GB2312"/>
              </w:rPr>
            </w:pPr>
          </w:p>
        </w:tc>
        <w:tc>
          <w:tcPr>
            <w:tcW w:w="1524" w:type="dxa"/>
            <w:vAlign w:val="center"/>
          </w:tcPr>
          <w:p>
            <w:pPr>
              <w:spacing w:line="400" w:lineRule="exact"/>
              <w:jc w:val="center"/>
              <w:rPr>
                <w:rFonts w:ascii="仿宋_GB2312" w:eastAsia="仿宋_GB2312"/>
              </w:rPr>
            </w:pPr>
          </w:p>
        </w:tc>
      </w:tr>
    </w:tbl>
    <w:p>
      <w:pPr>
        <w:spacing w:line="360" w:lineRule="auto"/>
        <w:rPr>
          <w:rFonts w:ascii="仿宋_GB2312" w:hAnsi="宋体" w:eastAsia="仿宋_GB2312"/>
        </w:rPr>
      </w:pPr>
    </w:p>
    <w:p>
      <w:pPr>
        <w:spacing w:line="360" w:lineRule="auto"/>
        <w:rPr>
          <w:rFonts w:ascii="仿宋_GB2312" w:hAnsi="宋体" w:eastAsia="仿宋_GB2312"/>
        </w:rPr>
      </w:pPr>
      <w:r>
        <w:rPr>
          <w:rFonts w:hint="eastAsia" w:ascii="仿宋_GB2312" w:hAnsi="宋体" w:eastAsia="仿宋_GB2312"/>
        </w:rPr>
        <w:t>注：请附上同类业绩评价证明资料（如中标通知书、合同等），评审细则另有要求的，按评审细则提供。</w:t>
      </w:r>
      <w:bookmarkEnd w:id="12"/>
    </w:p>
    <w:p>
      <w:pPr>
        <w:spacing w:line="440" w:lineRule="exact"/>
        <w:rPr>
          <w:rFonts w:ascii="仿宋_GB2312" w:hAnsi="宋体" w:eastAsia="仿宋_GB2312"/>
          <w:sz w:val="24"/>
          <w:szCs w:val="24"/>
        </w:rPr>
      </w:pPr>
      <w:bookmarkStart w:id="13" w:name="_Toc228644985"/>
      <w:bookmarkEnd w:id="13"/>
      <w:bookmarkStart w:id="14" w:name="_Toc224435734"/>
      <w:bookmarkEnd w:id="14"/>
      <w:bookmarkStart w:id="15" w:name="_Toc223939114"/>
      <w:bookmarkEnd w:id="15"/>
      <w:bookmarkStart w:id="16" w:name="_Toc334797776"/>
      <w:bookmarkEnd w:id="16"/>
      <w:bookmarkStart w:id="17" w:name="_Toc225565960"/>
      <w:bookmarkEnd w:id="17"/>
      <w:bookmarkStart w:id="18" w:name="_Toc245819142"/>
      <w:bookmarkEnd w:id="18"/>
      <w:bookmarkStart w:id="19" w:name="_Toc228899514"/>
      <w:bookmarkEnd w:id="19"/>
      <w:bookmarkStart w:id="20" w:name="_Toc238282344"/>
      <w:bookmarkEnd w:id="20"/>
      <w:bookmarkStart w:id="21" w:name="_Toc42951056"/>
      <w:bookmarkEnd w:id="21"/>
    </w:p>
    <w:p>
      <w:pPr>
        <w:spacing w:line="440" w:lineRule="exact"/>
        <w:rPr>
          <w:rFonts w:ascii="仿宋_GB2312" w:hAnsi="宋体" w:eastAsia="仿宋_GB2312"/>
        </w:rPr>
      </w:pPr>
      <w:r>
        <w:rPr>
          <w:rFonts w:hint="eastAsia" w:ascii="仿宋_GB2312" w:hAnsi="宋体" w:eastAsia="仿宋_GB2312"/>
        </w:rPr>
        <w:t>竞投人全称（公章）:</w:t>
      </w:r>
    </w:p>
    <w:p>
      <w:pPr>
        <w:tabs>
          <w:tab w:val="left" w:pos="3600"/>
        </w:tabs>
        <w:spacing w:line="440" w:lineRule="exact"/>
        <w:rPr>
          <w:rFonts w:ascii="仿宋_GB2312" w:hAnsi="宋体" w:eastAsia="仿宋_GB2312"/>
        </w:rPr>
      </w:pPr>
      <w:r>
        <w:rPr>
          <w:rFonts w:hint="eastAsia" w:ascii="仿宋_GB2312" w:hAnsi="宋体" w:eastAsia="仿宋_GB2312"/>
        </w:rPr>
        <w:t>法定代表人或其竞投人授权代表(签字)：</w:t>
      </w:r>
    </w:p>
    <w:p>
      <w:pPr>
        <w:spacing w:before="120" w:after="120" w:line="440" w:lineRule="exact"/>
        <w:rPr>
          <w:rFonts w:ascii="仿宋_GB2312" w:eastAsia="仿宋_GB2312"/>
          <w:b/>
          <w:sz w:val="28"/>
          <w:szCs w:val="28"/>
        </w:rPr>
      </w:pPr>
      <w:r>
        <w:rPr>
          <w:rFonts w:hint="eastAsia" w:ascii="仿宋_GB2312" w:hAnsi="宋体" w:eastAsia="仿宋_GB2312"/>
        </w:rPr>
        <w:t>日    期：         年      月     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34"/>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楷体 Std R">
    <w:altName w:val="宋体"/>
    <w:panose1 w:val="00000000000000000000"/>
    <w:charset w:val="34"/>
    <w:family w:val="roman"/>
    <w:pitch w:val="default"/>
    <w:sig w:usb0="00000000" w:usb1="00000000" w:usb2="00000016" w:usb3="00000000" w:csb0="00060007" w:csb1="00000000"/>
  </w:font>
  <w:font w:name="仿宋_GB2312">
    <w:altName w:val="仿宋"/>
    <w:panose1 w:val="02010609030101010101"/>
    <w:charset w:val="34"/>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2">
    <w:nsid w:val="2F000002"/>
    <w:multiLevelType w:val="multilevel"/>
    <w:tmpl w:val="2F000002"/>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2F000003"/>
    <w:multiLevelType w:val="multilevel"/>
    <w:tmpl w:val="2F000003"/>
    <w:lvl w:ilvl="0" w:tentative="0">
      <w:start w:val="7"/>
      <w:numFmt w:val="japaneseCounting"/>
      <w:lvlText w:val="%1、"/>
      <w:lvlJc w:val="left"/>
      <w:pPr>
        <w:ind w:left="982" w:hanging="510"/>
      </w:pPr>
      <w:rPr>
        <w:rFonts w:hint="default" w:ascii="黑体" w:eastAsia="黑体" w:cs="宋体"/>
        <w:b/>
        <w:sz w:val="24"/>
        <w:szCs w:val="24"/>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
    <w:nsid w:val="2F000005"/>
    <w:multiLevelType w:val="multilevel"/>
    <w:tmpl w:val="2F000005"/>
    <w:lvl w:ilvl="0" w:tentative="0">
      <w:start w:val="1"/>
      <w:numFmt w:val="decimal"/>
      <w:lvlText w:val="%1."/>
      <w:lvlJc w:val="left"/>
      <w:pPr>
        <w:tabs>
          <w:tab w:val="left" w:pos="425"/>
        </w:tabs>
        <w:ind w:left="425" w:hanging="425"/>
      </w:pPr>
      <w:rPr>
        <w:rFonts w:hint="default"/>
      </w:rPr>
    </w:lvl>
    <w:lvl w:ilvl="1" w:tentative="0">
      <w:start w:val="1"/>
      <w:numFmt w:val="decimal"/>
      <w:lvlText w:val="%1."/>
      <w:lvlJc w:val="left"/>
      <w:pPr>
        <w:tabs>
          <w:tab w:val="left" w:pos="425"/>
        </w:tabs>
        <w:ind w:left="425" w:hanging="425"/>
      </w:pPr>
      <w:rPr>
        <w:rFonts w:hint="default"/>
      </w:rPr>
    </w:lvl>
    <w:lvl w:ilvl="2" w:tentative="0">
      <w:start w:val="1"/>
      <w:numFmt w:val="decimal"/>
      <w:lvlText w:val="%1."/>
      <w:lvlJc w:val="left"/>
      <w:pPr>
        <w:tabs>
          <w:tab w:val="left" w:pos="425"/>
        </w:tabs>
        <w:ind w:left="425" w:hanging="425"/>
      </w:pPr>
      <w:rPr>
        <w:rFonts w:hint="default"/>
      </w:rPr>
    </w:lvl>
    <w:lvl w:ilvl="3" w:tentative="0">
      <w:start w:val="1"/>
      <w:numFmt w:val="decimal"/>
      <w:lvlText w:val="%1."/>
      <w:lvlJc w:val="left"/>
      <w:pPr>
        <w:tabs>
          <w:tab w:val="left" w:pos="425"/>
        </w:tabs>
        <w:ind w:left="425" w:hanging="425"/>
      </w:pPr>
      <w:rPr>
        <w:rFonts w:hint="default"/>
      </w:rPr>
    </w:lvl>
    <w:lvl w:ilvl="4" w:tentative="0">
      <w:start w:val="1"/>
      <w:numFmt w:val="decimal"/>
      <w:lvlText w:val="%1."/>
      <w:lvlJc w:val="left"/>
      <w:pPr>
        <w:tabs>
          <w:tab w:val="left" w:pos="425"/>
        </w:tabs>
        <w:ind w:left="425" w:hanging="425"/>
      </w:pPr>
      <w:rPr>
        <w:rFonts w:hint="default"/>
      </w:rPr>
    </w:lvl>
    <w:lvl w:ilvl="5" w:tentative="0">
      <w:start w:val="1"/>
      <w:numFmt w:val="decimal"/>
      <w:lvlText w:val="%1."/>
      <w:lvlJc w:val="left"/>
      <w:pPr>
        <w:tabs>
          <w:tab w:val="left" w:pos="425"/>
        </w:tabs>
        <w:ind w:left="425" w:hanging="425"/>
      </w:pPr>
      <w:rPr>
        <w:rFonts w:hint="default"/>
      </w:rPr>
    </w:lvl>
    <w:lvl w:ilvl="6" w:tentative="0">
      <w:start w:val="1"/>
      <w:numFmt w:val="decimal"/>
      <w:lvlText w:val="%1."/>
      <w:lvlJc w:val="left"/>
      <w:pPr>
        <w:tabs>
          <w:tab w:val="left" w:pos="425"/>
        </w:tabs>
        <w:ind w:left="425" w:hanging="425"/>
      </w:pPr>
      <w:rPr>
        <w:rFonts w:hint="default"/>
      </w:rPr>
    </w:lvl>
    <w:lvl w:ilvl="7" w:tentative="0">
      <w:start w:val="1"/>
      <w:numFmt w:val="decimal"/>
      <w:lvlText w:val="%1."/>
      <w:lvlJc w:val="left"/>
      <w:pPr>
        <w:tabs>
          <w:tab w:val="left" w:pos="425"/>
        </w:tabs>
        <w:ind w:left="425" w:hanging="425"/>
      </w:pPr>
      <w:rPr>
        <w:rFonts w:hint="default"/>
      </w:rPr>
    </w:lvl>
    <w:lvl w:ilvl="8" w:tentative="0">
      <w:start w:val="1"/>
      <w:numFmt w:val="decimal"/>
      <w:lvlText w:val="%1."/>
      <w:lvlJc w:val="left"/>
      <w:pPr>
        <w:tabs>
          <w:tab w:val="left" w:pos="425"/>
        </w:tabs>
        <w:ind w:left="425" w:hanging="425"/>
      </w:pPr>
      <w:rPr>
        <w:rFonts w:hint="default"/>
      </w:rPr>
    </w:lvl>
  </w:abstractNum>
  <w:abstractNum w:abstractNumId="5">
    <w:nsid w:val="2F000007"/>
    <w:multiLevelType w:val="multilevel"/>
    <w:tmpl w:val="2F000007"/>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946296"/>
    <w:multiLevelType w:val="multilevel"/>
    <w:tmpl w:val="5C946296"/>
    <w:lvl w:ilvl="0" w:tentative="0">
      <w:start w:val="1"/>
      <w:numFmt w:val="decimal"/>
      <w:lvlText w:val="%1"/>
      <w:lvlJc w:val="left"/>
      <w:pPr>
        <w:ind w:left="0" w:hanging="425"/>
      </w:pPr>
      <w:rPr>
        <w:rFonts w:hint="default" w:ascii="宋体" w:hAnsi="宋体" w:eastAsia="宋体"/>
        <w:b/>
        <w:spacing w:val="0"/>
        <w:w w:val="100"/>
        <w:sz w:val="20"/>
      </w:rPr>
    </w:lvl>
    <w:lvl w:ilvl="1" w:tentative="0">
      <w:start w:val="1"/>
      <w:numFmt w:val="decimal"/>
      <w:lvlText w:val="%1.%2"/>
      <w:lvlJc w:val="left"/>
      <w:pPr>
        <w:ind w:left="992" w:hanging="567"/>
      </w:pPr>
      <w:rPr>
        <w:rFonts w:hint="default" w:ascii="宋体" w:hAnsi="宋体" w:eastAsia="宋体"/>
        <w:b/>
        <w:spacing w:val="0"/>
        <w:w w:val="100"/>
        <w:sz w:val="20"/>
      </w:rPr>
    </w:lvl>
    <w:lvl w:ilvl="2" w:tentative="0">
      <w:start w:val="1"/>
      <w:numFmt w:val="decimal"/>
      <w:lvlText w:val="%1.%2.%3"/>
      <w:lvlJc w:val="left"/>
      <w:pPr>
        <w:ind w:left="1418" w:hanging="567"/>
      </w:pPr>
      <w:rPr>
        <w:rFonts w:hint="default" w:ascii="宋体" w:hAnsi="宋体"/>
        <w:spacing w:val="0"/>
        <w:w w:val="100"/>
        <w:sz w:val="20"/>
      </w:rPr>
    </w:lvl>
    <w:lvl w:ilvl="3" w:tentative="0">
      <w:start w:val="1"/>
      <w:numFmt w:val="decimal"/>
      <w:lvlText w:val="%1.%2.%3.%4"/>
      <w:lvlJc w:val="left"/>
      <w:pPr>
        <w:ind w:left="1984" w:hanging="708"/>
      </w:pPr>
      <w:rPr>
        <w:rFonts w:hint="default" w:ascii="宋体" w:hAnsi="宋体"/>
        <w:spacing w:val="0"/>
        <w:w w:val="100"/>
        <w:sz w:val="20"/>
      </w:rPr>
    </w:lvl>
    <w:lvl w:ilvl="4" w:tentative="0">
      <w:start w:val="1"/>
      <w:numFmt w:val="decimal"/>
      <w:lvlText w:val="%1.%2.%3.%4.%5"/>
      <w:lvlJc w:val="left"/>
      <w:pPr>
        <w:ind w:left="2551" w:hanging="850"/>
      </w:pPr>
      <w:rPr>
        <w:rFonts w:hint="default" w:ascii="宋体" w:hAnsi="宋体"/>
        <w:spacing w:val="0"/>
        <w:w w:val="100"/>
        <w:sz w:val="20"/>
      </w:rPr>
    </w:lvl>
    <w:lvl w:ilvl="5" w:tentative="0">
      <w:start w:val="1"/>
      <w:numFmt w:val="decimal"/>
      <w:lvlText w:val="%1.%2.%3.%4.%5.%6"/>
      <w:lvlJc w:val="left"/>
      <w:pPr>
        <w:ind w:left="3260" w:hanging="1134"/>
      </w:pPr>
      <w:rPr>
        <w:rFonts w:hint="default" w:ascii="宋体" w:hAnsi="宋体"/>
        <w:spacing w:val="0"/>
        <w:w w:val="100"/>
        <w:sz w:val="20"/>
      </w:rPr>
    </w:lvl>
    <w:lvl w:ilvl="6" w:tentative="0">
      <w:start w:val="1"/>
      <w:numFmt w:val="decimal"/>
      <w:lvlText w:val="%1.%2.%3.%4.%5.%6.%7"/>
      <w:lvlJc w:val="left"/>
      <w:pPr>
        <w:ind w:left="3827" w:hanging="1276"/>
      </w:pPr>
      <w:rPr>
        <w:rFonts w:hint="default" w:ascii="宋体" w:hAnsi="宋体"/>
        <w:spacing w:val="0"/>
        <w:w w:val="100"/>
        <w:sz w:val="20"/>
      </w:rPr>
    </w:lvl>
    <w:lvl w:ilvl="7" w:tentative="0">
      <w:start w:val="1"/>
      <w:numFmt w:val="decimal"/>
      <w:lvlText w:val="%1.%2.%3.%4.%5.%6.%7.%8"/>
      <w:lvlJc w:val="left"/>
      <w:pPr>
        <w:ind w:left="4394" w:hanging="1418"/>
      </w:pPr>
      <w:rPr>
        <w:rFonts w:hint="default" w:ascii="宋体" w:hAnsi="宋体"/>
        <w:spacing w:val="0"/>
        <w:w w:val="100"/>
        <w:sz w:val="20"/>
      </w:rPr>
    </w:lvl>
    <w:lvl w:ilvl="8" w:tentative="0">
      <w:start w:val="1"/>
      <w:numFmt w:val="decimal"/>
      <w:lvlText w:val="%1.%2.%3.%4.%5.%6.%7.%8.%9"/>
      <w:lvlJc w:val="left"/>
      <w:pPr>
        <w:ind w:left="5102" w:hanging="1700"/>
      </w:pPr>
      <w:rPr>
        <w:rFonts w:hint="default" w:ascii="宋体" w:hAnsi="宋体"/>
        <w:spacing w:val="0"/>
        <w:w w:val="100"/>
        <w:sz w:val="20"/>
      </w:rPr>
    </w:lvl>
  </w:abstractNum>
  <w:num w:numId="1">
    <w:abstractNumId w:val="5"/>
  </w:num>
  <w:num w:numId="2">
    <w:abstractNumId w:val="0"/>
  </w:num>
  <w:num w:numId="3">
    <w:abstractNumId w:val="2"/>
  </w:num>
  <w:num w:numId="4">
    <w:abstractNumId w:val="3"/>
  </w:num>
  <w:num w:numId="5">
    <w:abstractNumId w:val="6"/>
  </w:num>
  <w:num w:numId="6">
    <w:abstractNumId w:val="6"/>
    <w:lvlOverride w:ilvl="1">
      <w:startOverride w:val="1"/>
    </w:lvlOverride>
  </w:num>
  <w:num w:numId="7">
    <w:abstractNumId w:val="6"/>
    <w:lvlOverride w:ilvl="0">
      <w:startOverride w:val="2"/>
    </w:lvlOverride>
  </w:num>
  <w:num w:numId="8">
    <w:abstractNumId w:val="6"/>
    <w:lvlOverride w:ilvl="0">
      <w:startOverride w:val="3"/>
    </w:lvlOverride>
  </w:num>
  <w:num w:numId="9">
    <w:abstractNumId w:val="6"/>
    <w:lvlOverride w:ilvl="0">
      <w:startOverride w:val="4"/>
    </w:lvlOverride>
  </w:num>
  <w:num w:numId="10">
    <w:abstractNumId w:val="6"/>
    <w:lvlOverride w:ilvl="0">
      <w:startOverride w:val="5"/>
    </w:lvlOverride>
  </w:num>
  <w:num w:numId="11">
    <w:abstractNumId w:val="6"/>
    <w:lvlOverride w:ilvl="1">
      <w:startOverride w:val="1"/>
    </w:lvlOverride>
  </w:num>
  <w:num w:numId="12">
    <w:abstractNumId w:val="6"/>
    <w:lvlOverride w:ilvl="0">
      <w:startOverride w:val="6"/>
    </w:lvlOverride>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GFlNDA4MjYzM2NlNDAzZGNmY2I4MTQ1NDFhNGRmNGYifQ=="/>
  </w:docVars>
  <w:rsids>
    <w:rsidRoot w:val="00000000"/>
    <w:rsid w:val="19F14B0B"/>
    <w:rsid w:val="1AE75329"/>
    <w:rsid w:val="2BD72EB1"/>
    <w:rsid w:val="38501B94"/>
    <w:rsid w:val="3A03182B"/>
    <w:rsid w:val="3BD4783F"/>
    <w:rsid w:val="54A82C24"/>
    <w:rsid w:val="554E59AA"/>
    <w:rsid w:val="559D5DED"/>
    <w:rsid w:val="55F36710"/>
    <w:rsid w:val="55FA67C8"/>
    <w:rsid w:val="5BC22E0D"/>
    <w:rsid w:val="5D464A4F"/>
    <w:rsid w:val="6BC37FC5"/>
    <w:rsid w:val="6F882700"/>
    <w:rsid w:val="73B02EEC"/>
    <w:rsid w:val="769B79DD"/>
    <w:rsid w:val="77747C88"/>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154" w:semiHidden="0" w:name="annotation text"/>
    <w:lsdException w:qFormat="1" w:uiPriority="159" w:semiHidden="0" w:name="header"/>
    <w:lsdException w:qFormat="1" w:uiPriority="158"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153" w:semiHidden="0" w:name="envelope return"/>
    <w:lsdException w:unhideWhenUsed="0" w:uiPriority="0" w:semiHidden="0" w:name="footnote reference"/>
    <w:lsdException w:qFormat="1" w:uiPriority="162"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qFormat="1" w:uiPriority="155" w:semiHidden="0" w:name="Body Text"/>
    <w:lsdException w:qFormat="1" w:unhideWhenUsed="0" w:uiPriority="152"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151" w:semiHidden="0" w:name="Body Text First Indent 2"/>
    <w:lsdException w:unhideWhenUsed="0" w:uiPriority="0" w:semiHidden="0" w:name="Note Heading"/>
    <w:lsdException w:qFormat="1" w:unhideWhenUsed="0" w:uiPriority="16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qFormat="1" w:unhideWhenUsed="0" w:uiPriority="156" w:semiHidden="0" w:name="Plain Text"/>
    <w:lsdException w:unhideWhenUsed="0" w:uiPriority="0" w:semiHidden="0" w:name="E-mail Signature"/>
    <w:lsdException w:qFormat="1" w:uiPriority="16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157"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23"/>
    <w:qFormat/>
    <w:uiPriority w:val="7"/>
    <w:pPr>
      <w:spacing w:before="340" w:after="330" w:line="578" w:lineRule="auto"/>
      <w:outlineLvl w:val="0"/>
    </w:pPr>
    <w:rPr>
      <w:b/>
      <w:sz w:val="44"/>
      <w:szCs w:val="44"/>
    </w:rPr>
  </w:style>
  <w:style w:type="paragraph" w:styleId="3">
    <w:name w:val="heading 2"/>
    <w:basedOn w:val="1"/>
    <w:next w:val="1"/>
    <w:link w:val="24"/>
    <w:qFormat/>
    <w:uiPriority w:val="8"/>
    <w:pPr>
      <w:spacing w:before="260" w:after="260" w:line="415" w:lineRule="auto"/>
      <w:outlineLvl w:val="1"/>
    </w:pPr>
    <w:rPr>
      <w:rFonts w:ascii="Arial" w:hAnsi="Arial" w:eastAsia="黑体"/>
      <w:b/>
      <w:sz w:val="32"/>
      <w:szCs w:val="32"/>
    </w:rPr>
  </w:style>
  <w:style w:type="character" w:default="1" w:styleId="17">
    <w:name w:val="Default Paragraph Font"/>
    <w:semiHidden/>
    <w:unhideWhenUsed/>
    <w:qFormat/>
    <w:uiPriority w:val="2"/>
  </w:style>
  <w:style w:type="table" w:default="1" w:styleId="15">
    <w:name w:val="Normal Table"/>
    <w:semiHidden/>
    <w:unhideWhenUsed/>
    <w:qFormat/>
    <w:uiPriority w:val="3"/>
    <w:tblPr>
      <w:tblCellMar>
        <w:top w:w="0" w:type="dxa"/>
        <w:left w:w="108" w:type="dxa"/>
        <w:bottom w:w="0" w:type="dxa"/>
        <w:right w:w="108" w:type="dxa"/>
      </w:tblCellMar>
    </w:tblPr>
  </w:style>
  <w:style w:type="paragraph" w:styleId="4">
    <w:name w:val="annotation text"/>
    <w:basedOn w:val="1"/>
    <w:link w:val="25"/>
    <w:qFormat/>
    <w:uiPriority w:val="154"/>
    <w:pPr>
      <w:jc w:val="left"/>
    </w:pPr>
    <w:rPr>
      <w:rFonts w:asciiTheme="minorHAnsi" w:hAnsiTheme="minorHAnsi" w:cstheme="minorBidi"/>
    </w:rPr>
  </w:style>
  <w:style w:type="paragraph" w:styleId="5">
    <w:name w:val="Body Text"/>
    <w:basedOn w:val="1"/>
    <w:link w:val="35"/>
    <w:unhideWhenUsed/>
    <w:qFormat/>
    <w:uiPriority w:val="155"/>
    <w:pPr>
      <w:spacing w:after="120"/>
    </w:pPr>
  </w:style>
  <w:style w:type="paragraph" w:styleId="6">
    <w:name w:val="Body Text Indent"/>
    <w:basedOn w:val="1"/>
    <w:link w:val="27"/>
    <w:qFormat/>
    <w:uiPriority w:val="152"/>
    <w:pPr>
      <w:ind w:firstLine="570"/>
    </w:pPr>
    <w:rPr>
      <w:rFonts w:ascii="宋体" w:hAnsi="宋体" w:cstheme="minorBidi"/>
      <w:sz w:val="28"/>
      <w:szCs w:val="28"/>
    </w:rPr>
  </w:style>
  <w:style w:type="paragraph" w:styleId="7">
    <w:name w:val="Plain Text"/>
    <w:basedOn w:val="1"/>
    <w:link w:val="26"/>
    <w:qFormat/>
    <w:uiPriority w:val="156"/>
    <w:pPr>
      <w:spacing w:line="360" w:lineRule="auto"/>
      <w:ind w:firstLine="510"/>
    </w:pPr>
    <w:rPr>
      <w:rFonts w:ascii="宋体" w:hAnsi="Courier New" w:cstheme="minorBidi"/>
      <w:sz w:val="24"/>
      <w:szCs w:val="24"/>
    </w:rPr>
  </w:style>
  <w:style w:type="paragraph" w:styleId="8">
    <w:name w:val="Balloon Text"/>
    <w:basedOn w:val="1"/>
    <w:link w:val="36"/>
    <w:semiHidden/>
    <w:unhideWhenUsed/>
    <w:qFormat/>
    <w:uiPriority w:val="157"/>
    <w:rPr>
      <w:sz w:val="18"/>
      <w:szCs w:val="18"/>
    </w:rPr>
  </w:style>
  <w:style w:type="paragraph" w:styleId="9">
    <w:name w:val="footer"/>
    <w:basedOn w:val="1"/>
    <w:link w:val="22"/>
    <w:unhideWhenUsed/>
    <w:qFormat/>
    <w:uiPriority w:val="158"/>
    <w:pPr>
      <w:tabs>
        <w:tab w:val="center" w:pos="4153"/>
        <w:tab w:val="right" w:pos="8306"/>
      </w:tabs>
      <w:snapToGrid w:val="0"/>
      <w:jc w:val="left"/>
    </w:pPr>
    <w:rPr>
      <w:sz w:val="18"/>
      <w:szCs w:val="18"/>
    </w:rPr>
  </w:style>
  <w:style w:type="paragraph" w:styleId="10">
    <w:name w:val="envelope return"/>
    <w:basedOn w:val="1"/>
    <w:unhideWhenUsed/>
    <w:qFormat/>
    <w:uiPriority w:val="153"/>
    <w:pPr>
      <w:snapToGrid w:val="0"/>
    </w:pPr>
    <w:rPr>
      <w:rFonts w:ascii="Arial" w:hAnsi="Arial"/>
    </w:rPr>
  </w:style>
  <w:style w:type="paragraph" w:styleId="11">
    <w:name w:val="header"/>
    <w:basedOn w:val="1"/>
    <w:link w:val="21"/>
    <w:unhideWhenUsed/>
    <w:qFormat/>
    <w:uiPriority w:val="159"/>
    <w:pPr>
      <w:pBdr>
        <w:bottom w:val="single" w:color="000000" w:sz="6" w:space="1"/>
      </w:pBdr>
      <w:tabs>
        <w:tab w:val="center" w:pos="4153"/>
        <w:tab w:val="right" w:pos="8306"/>
      </w:tabs>
      <w:snapToGrid w:val="0"/>
      <w:jc w:val="center"/>
    </w:pPr>
    <w:rPr>
      <w:sz w:val="18"/>
      <w:szCs w:val="18"/>
    </w:rPr>
  </w:style>
  <w:style w:type="paragraph" w:styleId="12">
    <w:name w:val="Body Text 2"/>
    <w:basedOn w:val="1"/>
    <w:qFormat/>
    <w:uiPriority w:val="160"/>
    <w:rPr>
      <w:sz w:val="24"/>
      <w:szCs w:val="24"/>
    </w:rPr>
  </w:style>
  <w:style w:type="paragraph" w:styleId="13">
    <w:name w:val="Normal (Web)"/>
    <w:basedOn w:val="1"/>
    <w:unhideWhenUsed/>
    <w:qFormat/>
    <w:uiPriority w:val="161"/>
    <w:rPr>
      <w:sz w:val="24"/>
      <w:szCs w:val="24"/>
    </w:rPr>
  </w:style>
  <w:style w:type="paragraph" w:styleId="14">
    <w:name w:val="Body Text First Indent 2"/>
    <w:qFormat/>
    <w:uiPriority w:val="151"/>
    <w:pPr>
      <w:spacing w:after="120"/>
      <w:ind w:left="420" w:firstLine="210"/>
    </w:pPr>
    <w:rPr>
      <w:rFonts w:ascii="Times New Roman" w:hAnsi="Times New Roman" w:eastAsia="宋体" w:cs="Times New Roman"/>
      <w:sz w:val="21"/>
      <w:szCs w:val="21"/>
    </w:rPr>
  </w:style>
  <w:style w:type="table" w:styleId="16">
    <w:name w:val="Table Grid"/>
    <w:basedOn w:val="15"/>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0"/>
    <w:rPr>
      <w:b/>
    </w:rPr>
  </w:style>
  <w:style w:type="character" w:styleId="19">
    <w:name w:val="annotation reference"/>
    <w:basedOn w:val="17"/>
    <w:semiHidden/>
    <w:unhideWhenUsed/>
    <w:qFormat/>
    <w:uiPriority w:val="162"/>
    <w:rPr>
      <w:sz w:val="21"/>
      <w:szCs w:val="21"/>
    </w:rPr>
  </w:style>
  <w:style w:type="paragraph" w:styleId="20">
    <w:name w:val="List Paragraph"/>
    <w:basedOn w:val="1"/>
    <w:qFormat/>
    <w:uiPriority w:val="26"/>
    <w:pPr>
      <w:ind w:firstLine="200"/>
    </w:pPr>
    <w:rPr>
      <w:rFonts w:ascii="Calibri" w:hAnsi="Calibri"/>
    </w:rPr>
  </w:style>
  <w:style w:type="character" w:customStyle="1" w:styleId="21">
    <w:name w:val="页眉 字符"/>
    <w:basedOn w:val="17"/>
    <w:link w:val="11"/>
    <w:qFormat/>
    <w:uiPriority w:val="163"/>
    <w:rPr>
      <w:sz w:val="18"/>
      <w:szCs w:val="18"/>
    </w:rPr>
  </w:style>
  <w:style w:type="character" w:customStyle="1" w:styleId="22">
    <w:name w:val="页脚 字符"/>
    <w:basedOn w:val="17"/>
    <w:link w:val="9"/>
    <w:qFormat/>
    <w:uiPriority w:val="164"/>
    <w:rPr>
      <w:sz w:val="18"/>
      <w:szCs w:val="18"/>
    </w:rPr>
  </w:style>
  <w:style w:type="character" w:customStyle="1" w:styleId="23">
    <w:name w:val="标题 1 字符"/>
    <w:basedOn w:val="17"/>
    <w:link w:val="2"/>
    <w:qFormat/>
    <w:uiPriority w:val="165"/>
    <w:rPr>
      <w:rFonts w:ascii="Times New Roman" w:hAnsi="Times New Roman" w:eastAsia="宋体" w:cs="Times New Roman"/>
      <w:b/>
      <w:sz w:val="44"/>
      <w:szCs w:val="44"/>
    </w:rPr>
  </w:style>
  <w:style w:type="character" w:customStyle="1" w:styleId="24">
    <w:name w:val="标题 2 字符"/>
    <w:basedOn w:val="17"/>
    <w:link w:val="3"/>
    <w:qFormat/>
    <w:uiPriority w:val="166"/>
    <w:rPr>
      <w:rFonts w:ascii="Arial" w:hAnsi="Arial" w:eastAsia="黑体" w:cs="Times New Roman"/>
      <w:b/>
      <w:sz w:val="32"/>
      <w:szCs w:val="32"/>
    </w:rPr>
  </w:style>
  <w:style w:type="character" w:customStyle="1" w:styleId="25">
    <w:name w:val="批注文字 字符"/>
    <w:link w:val="4"/>
    <w:semiHidden/>
    <w:qFormat/>
    <w:uiPriority w:val="167"/>
    <w:rPr>
      <w:rFonts w:eastAsia="宋体"/>
    </w:rPr>
  </w:style>
  <w:style w:type="character" w:customStyle="1" w:styleId="26">
    <w:name w:val="纯文本 字符"/>
    <w:link w:val="7"/>
    <w:qFormat/>
    <w:uiPriority w:val="168"/>
    <w:rPr>
      <w:rFonts w:ascii="宋体" w:hAnsi="Courier New" w:eastAsia="宋体"/>
      <w:sz w:val="24"/>
      <w:szCs w:val="24"/>
    </w:rPr>
  </w:style>
  <w:style w:type="character" w:customStyle="1" w:styleId="27">
    <w:name w:val="正文文本缩进 字符"/>
    <w:link w:val="6"/>
    <w:qFormat/>
    <w:uiPriority w:val="169"/>
    <w:rPr>
      <w:rFonts w:ascii="宋体" w:hAnsi="宋体" w:eastAsia="宋体"/>
      <w:sz w:val="28"/>
      <w:szCs w:val="28"/>
    </w:rPr>
  </w:style>
  <w:style w:type="character" w:customStyle="1" w:styleId="28">
    <w:name w:val="批注文字 Char1"/>
    <w:basedOn w:val="17"/>
    <w:semiHidden/>
    <w:qFormat/>
    <w:uiPriority w:val="170"/>
    <w:rPr>
      <w:rFonts w:ascii="Times New Roman" w:hAnsi="Times New Roman" w:eastAsia="宋体" w:cs="Times New Roman"/>
    </w:rPr>
  </w:style>
  <w:style w:type="character" w:customStyle="1" w:styleId="29">
    <w:name w:val="纯文本 Char1"/>
    <w:basedOn w:val="17"/>
    <w:semiHidden/>
    <w:qFormat/>
    <w:uiPriority w:val="171"/>
    <w:rPr>
      <w:rFonts w:ascii="宋体" w:hAnsi="Courier New" w:eastAsia="宋体" w:cs="Courier New"/>
    </w:rPr>
  </w:style>
  <w:style w:type="character" w:customStyle="1" w:styleId="30">
    <w:name w:val="正文文本缩进 Char1"/>
    <w:basedOn w:val="17"/>
    <w:semiHidden/>
    <w:qFormat/>
    <w:uiPriority w:val="172"/>
    <w:rPr>
      <w:rFonts w:ascii="Times New Roman" w:hAnsi="Times New Roman" w:eastAsia="宋体" w:cs="Times New Roman"/>
    </w:rPr>
  </w:style>
  <w:style w:type="paragraph" w:customStyle="1" w:styleId="31">
    <w:name w:val="彩色列表1"/>
    <w:basedOn w:val="1"/>
    <w:qFormat/>
    <w:uiPriority w:val="173"/>
    <w:pPr>
      <w:ind w:firstLine="200"/>
    </w:pPr>
    <w:rPr>
      <w:rFonts w:ascii="Calibri" w:hAnsi="Calibri"/>
    </w:rPr>
  </w:style>
  <w:style w:type="paragraph" w:customStyle="1" w:styleId="32">
    <w:name w:val="正文_0_0"/>
    <w:qFormat/>
    <w:uiPriority w:val="174"/>
    <w:rPr>
      <w:rFonts w:ascii="Times New Roman" w:hAnsi="Times New Roman" w:eastAsia="宋体" w:cs="Times New Roman"/>
      <w:sz w:val="21"/>
      <w:szCs w:val="21"/>
      <w:lang w:val="en-US" w:eastAsia="zh-CN" w:bidi="ar-SA"/>
    </w:rPr>
  </w:style>
  <w:style w:type="paragraph" w:customStyle="1" w:styleId="33">
    <w:name w:val="列出段落1"/>
    <w:basedOn w:val="1"/>
    <w:qFormat/>
    <w:uiPriority w:val="175"/>
    <w:pPr>
      <w:ind w:firstLine="200"/>
    </w:pPr>
  </w:style>
  <w:style w:type="paragraph" w:customStyle="1" w:styleId="34">
    <w:name w:val="样式1"/>
    <w:basedOn w:val="1"/>
    <w:qFormat/>
    <w:uiPriority w:val="176"/>
    <w:pPr>
      <w:tabs>
        <w:tab w:val="left" w:pos="709"/>
      </w:tabs>
      <w:ind w:left="784" w:hanging="360"/>
    </w:pPr>
    <w:rPr>
      <w:rFonts w:ascii="宋体" w:hAnsi="宋体" w:eastAsia="楷体_GB2312"/>
      <w:sz w:val="26"/>
      <w:szCs w:val="26"/>
    </w:rPr>
  </w:style>
  <w:style w:type="character" w:customStyle="1" w:styleId="35">
    <w:name w:val="正文文本 字符"/>
    <w:basedOn w:val="17"/>
    <w:link w:val="5"/>
    <w:semiHidden/>
    <w:qFormat/>
    <w:uiPriority w:val="177"/>
    <w:rPr>
      <w:rFonts w:ascii="Times New Roman" w:hAnsi="Times New Roman" w:eastAsia="宋体" w:cs="Times New Roman"/>
    </w:rPr>
  </w:style>
  <w:style w:type="character" w:customStyle="1" w:styleId="36">
    <w:name w:val="批注框文本 字符"/>
    <w:basedOn w:val="17"/>
    <w:link w:val="8"/>
    <w:semiHidden/>
    <w:qFormat/>
    <w:uiPriority w:val="178"/>
    <w:rPr>
      <w:rFonts w:ascii="Times New Roman" w:hAnsi="Times New Roman" w:eastAsia="宋体" w:cs="Times New Roman"/>
      <w:sz w:val="18"/>
      <w:szCs w:val="18"/>
    </w:rPr>
  </w:style>
  <w:style w:type="paragraph" w:customStyle="1" w:styleId="37">
    <w:name w:val="Body text|1"/>
    <w:basedOn w:val="1"/>
    <w:qFormat/>
    <w:uiPriority w:val="179"/>
    <w:pPr>
      <w:spacing w:line="360" w:lineRule="auto"/>
      <w:ind w:firstLine="400"/>
    </w:pPr>
    <w:rPr>
      <w:rFonts w:ascii="宋体" w:hAnsi="宋体" w:cs="宋体"/>
      <w:sz w:val="30"/>
      <w:szCs w:val="30"/>
      <w:lang w:val="zh-TW" w:eastAsia="zh-TW" w:bidi="zh-TW"/>
    </w:rPr>
  </w:style>
  <w:style w:type="character" w:customStyle="1" w:styleId="38">
    <w:name w:val="填空格"/>
    <w:qFormat/>
    <w:uiPriority w:val="180"/>
    <w:rPr>
      <w:rFonts w:eastAsia="宋体"/>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10052</Words>
  <Characters>10388</Characters>
  <Lines>78</Lines>
  <Paragraphs>22</Paragraphs>
  <TotalTime>0</TotalTime>
  <ScaleCrop>false</ScaleCrop>
  <LinksUpToDate>false</LinksUpToDate>
  <CharactersWithSpaces>11195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2022-11-23T09:37:00Z</dcterms:created>
  <dc:creator>杨振焕</dc:creator>
  <cp:lastModifiedBy>WPS_1660028155</cp:lastModifiedBy>
  <dcterms:modified xsi:type="dcterms:W3CDTF">2023-02-03T07:19:32Z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30EB386A4DEB4CA4930C0952833D73FF</vt:lpwstr>
  </property>
</Properties>
</file>