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hint="eastAsia" w:ascii="楷体" w:hAnsi="楷体" w:eastAsia="楷体"/>
          <w:b/>
          <w:sz w:val="52"/>
          <w:szCs w:val="48"/>
          <w:lang w:val="en-US" w:eastAsia="zh-CN"/>
        </w:rPr>
      </w:pPr>
      <w:r>
        <w:rPr>
          <w:rFonts w:hint="eastAsia" w:ascii="楷体" w:hAnsi="楷体" w:eastAsia="楷体"/>
          <w:b/>
          <w:sz w:val="52"/>
          <w:szCs w:val="48"/>
        </w:rPr>
        <w:t>城投琶洲中心东塔</w:t>
      </w:r>
      <w:r>
        <w:rPr>
          <w:rFonts w:hint="eastAsia" w:ascii="楷体" w:hAnsi="楷体" w:eastAsia="楷体"/>
          <w:b/>
          <w:sz w:val="52"/>
          <w:szCs w:val="48"/>
          <w:lang w:val="en-US" w:eastAsia="zh-CN"/>
        </w:rPr>
        <w:t>第二阶段</w:t>
      </w:r>
    </w:p>
    <w:p>
      <w:pPr>
        <w:spacing w:line="360" w:lineRule="auto"/>
        <w:jc w:val="center"/>
        <w:rPr>
          <w:rFonts w:ascii="楷体" w:hAnsi="楷体" w:eastAsia="楷体"/>
          <w:b/>
          <w:sz w:val="52"/>
          <w:szCs w:val="48"/>
        </w:rPr>
      </w:pPr>
      <w:r>
        <w:rPr>
          <w:rFonts w:hint="eastAsia" w:ascii="楷体" w:hAnsi="楷体" w:eastAsia="楷体"/>
          <w:b/>
          <w:sz w:val="52"/>
          <w:szCs w:val="48"/>
        </w:rPr>
        <w:t>广告全案服务项目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w:t>
      </w:r>
      <w:r>
        <w:rPr>
          <w:rFonts w:hint="eastAsia" w:ascii="楷体" w:hAnsi="楷体" w:eastAsia="楷体" w:cs="宋体"/>
          <w:b/>
          <w:bCs/>
          <w:sz w:val="32"/>
          <w:szCs w:val="32"/>
          <w:lang w:val="en-US" w:eastAsia="zh-CN"/>
        </w:rPr>
        <w:t>4</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3</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1</w:t>
      </w:r>
      <w:r>
        <w:rPr>
          <w:rFonts w:hint="eastAsia" w:ascii="楷体" w:hAnsi="楷体" w:eastAsia="楷体" w:cs="宋体"/>
          <w:b/>
          <w:bCs/>
          <w:color w:val="000000"/>
          <w:sz w:val="32"/>
          <w:szCs w:val="32"/>
        </w:rPr>
        <w:t>日</w:t>
      </w:r>
    </w:p>
    <w:p>
      <w:pPr>
        <w:jc w:val="center"/>
        <w:rPr>
          <w:rFonts w:ascii="仿宋_GB2312" w:eastAsia="仿宋_GB2312"/>
        </w:rPr>
      </w:pP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ascii="仿宋_GB2312" w:hAnsi="宋体" w:eastAsia="仿宋_GB2312" w:cs="宋体"/>
          <w:spacing w:val="20"/>
          <w:sz w:val="32"/>
          <w:szCs w:val="32"/>
        </w:rPr>
        <w:br w:type="page"/>
      </w:r>
      <w:bookmarkEnd w:id="0"/>
      <w:r>
        <w:rPr>
          <w:rFonts w:hint="eastAsia" w:ascii="仿宋_GB2312" w:hAnsi="宋体" w:eastAsia="仿宋_GB2312" w:cs="宋体"/>
          <w:b/>
          <w:bCs/>
          <w:spacing w:val="20"/>
          <w:kern w:val="44"/>
          <w:sz w:val="32"/>
          <w:szCs w:val="32"/>
        </w:rPr>
        <w:t>竞选公告</w:t>
      </w:r>
    </w:p>
    <w:p>
      <w:pPr>
        <w:widowControl/>
        <w:spacing w:line="400" w:lineRule="exact"/>
        <w:rPr>
          <w:rFonts w:ascii="Calibri" w:hAnsi="Calibri"/>
        </w:rPr>
      </w:pPr>
    </w:p>
    <w:p>
      <w:pPr>
        <w:widowControl/>
        <w:spacing w:line="400" w:lineRule="exact"/>
        <w:jc w:val="center"/>
        <w:rPr>
          <w:rFonts w:hint="eastAsia"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城投琶洲中心东塔第二阶段广告全案服务项目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360" w:lineRule="auto"/>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城投琶洲中心东塔企业会客厅广告全案服务项目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widowControl/>
        <w:spacing w:line="360" w:lineRule="auto"/>
        <w:ind w:firstLine="480"/>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一、竞选项目内容说明</w:t>
      </w:r>
    </w:p>
    <w:p>
      <w:pPr>
        <w:spacing w:line="400" w:lineRule="exact"/>
        <w:jc w:val="left"/>
        <w:rPr>
          <w:rFonts w:ascii="仿宋" w:hAnsi="仿宋" w:eastAsia="仿宋" w:cs="仿宋_GB2312"/>
          <w:kern w:val="0"/>
          <w:sz w:val="24"/>
        </w:rPr>
      </w:pPr>
      <w:r>
        <w:rPr>
          <w:rFonts w:hint="eastAsia" w:ascii="仿宋_GB2312" w:hAnsi="仿宋_GB2312" w:eastAsia="仿宋_GB2312" w:cs="仿宋_GB2312"/>
          <w:sz w:val="24"/>
        </w:rPr>
        <w:t>（一）项目名称：广州城投·琶洲公馆</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（二）项目内容：</w:t>
      </w:r>
      <w:r>
        <w:rPr>
          <w:rFonts w:hint="eastAsia" w:ascii="仿宋" w:hAnsi="仿宋" w:eastAsia="仿宋" w:cs="仿宋_GB2312"/>
          <w:kern w:val="0"/>
          <w:sz w:val="24"/>
        </w:rPr>
        <w:t>服务单位需按照招选人要求实现城投琶洲中心东塔第二阶段广告全案服务项目，</w:t>
      </w:r>
      <w:r>
        <w:rPr>
          <w:rFonts w:hint="eastAsia" w:ascii="仿宋_GB2312" w:hAnsi="仿宋_GB2312" w:eastAsia="仿宋_GB2312" w:cs="仿宋_GB2312"/>
          <w:sz w:val="24"/>
        </w:rPr>
        <w:t>具体推广内容详见清单</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（三）项目地点：广州市海珠区新港东路608号</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（四）项目限价：</w:t>
      </w:r>
      <w:bookmarkStart w:id="2" w:name="_Hlk112146153"/>
      <w:r>
        <w:rPr>
          <w:rFonts w:ascii="仿宋_GB2312" w:hAnsi="仿宋_GB2312" w:eastAsia="仿宋_GB2312" w:cs="仿宋_GB2312"/>
          <w:sz w:val="24"/>
        </w:rPr>
        <w:t xml:space="preserve"> </w:t>
      </w: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38522</w:t>
      </w:r>
      <w:r>
        <w:rPr>
          <w:rFonts w:hint="eastAsia" w:ascii="仿宋_GB2312" w:hAnsi="仿宋_GB2312" w:eastAsia="仿宋_GB2312" w:cs="仿宋_GB2312"/>
          <w:sz w:val="24"/>
        </w:rPr>
        <w:t>.00元人民币</w:t>
      </w:r>
      <w:bookmarkEnd w:id="2"/>
      <w:r>
        <w:rPr>
          <w:rFonts w:hint="eastAsia" w:ascii="仿宋_GB2312" w:hAnsi="仿宋_GB2312" w:eastAsia="仿宋_GB2312" w:cs="仿宋_GB2312"/>
          <w:sz w:val="24"/>
        </w:rPr>
        <w:t>（含税）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（五）本项目设置合理报价区间为[项目限价*80%，项目限价]</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二、供应商资格要求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1、竞投人必须是国内合法注册的法人或其他组织, 并已办理合法税务登记，具有开具相应发票能力；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2、竞投人须具备实施采购项目所需的广告服务的经营范围；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3、本项目不接受联合体竞投。</w:t>
      </w:r>
    </w:p>
    <w:p>
      <w:pPr>
        <w:spacing w:line="400" w:lineRule="exact"/>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三、竞投资料及递交时间地点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（一）公司资质的相关文件：公司营业执照（加盖公章）及公司基本情况介绍等资料。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（二）城投琶洲中心东塔</w:t>
      </w:r>
      <w:r>
        <w:rPr>
          <w:rFonts w:hint="eastAsia" w:ascii="仿宋_GB2312" w:hAnsi="仿宋_GB2312" w:eastAsia="仿宋_GB2312" w:cs="仿宋_GB2312"/>
          <w:sz w:val="24"/>
          <w:lang w:val="en-US" w:eastAsia="zh-CN"/>
        </w:rPr>
        <w:t>第二阶段</w:t>
      </w:r>
      <w:r>
        <w:rPr>
          <w:rFonts w:hint="eastAsia" w:ascii="仿宋_GB2312" w:hAnsi="仿宋_GB2312" w:eastAsia="仿宋_GB2312" w:cs="仿宋_GB2312"/>
          <w:sz w:val="24"/>
        </w:rPr>
        <w:t>广告全案服务方案（含竞投报价清单以及服务事项等）。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（三）竞投单位以密封形式提交竞投资料，本项目仅接受现场递交资料，快递方式提交资料将视为无效竞投。</w:t>
      </w:r>
    </w:p>
    <w:p>
      <w:pPr>
        <w:spacing w:line="400" w:lineRule="exact"/>
        <w:rPr>
          <w:rFonts w:ascii="仿宋_GB2312" w:hAnsi="仿宋_GB2312" w:eastAsia="仿宋_GB2312" w:cs="仿宋_GB2312"/>
          <w:color w:val="FF000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四</w:t>
      </w:r>
      <w:r>
        <w:rPr>
          <w:rFonts w:hint="eastAsia" w:ascii="仿宋_GB2312" w:hAnsi="仿宋_GB2312" w:eastAsia="仿宋_GB2312" w:cs="仿宋_GB2312"/>
          <w:sz w:val="24"/>
        </w:rPr>
        <w:t>）竞投文件提交截止时间：202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日上午</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0</w:t>
      </w:r>
    </w:p>
    <w:p>
      <w:pPr>
        <w:spacing w:line="400" w:lineRule="exac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）递交地址：</w:t>
      </w:r>
      <w:r>
        <w:rPr>
          <w:rFonts w:hint="eastAsia" w:ascii="仿宋_GB2312" w:hAnsi="仿宋_GB2312" w:eastAsia="仿宋_GB2312" w:cs="仿宋_GB2312"/>
          <w:sz w:val="24"/>
          <w:highlight w:val="none"/>
        </w:rPr>
        <w:t>广州市海珠区新港东路608号</w:t>
      </w:r>
      <w:r>
        <w:rPr>
          <w:rFonts w:hint="eastAsia" w:ascii="仿宋_GB2312" w:hAnsi="仿宋_GB2312" w:eastAsia="仿宋_GB2312" w:cs="仿宋_GB2312"/>
          <w:sz w:val="24"/>
          <w:highlight w:val="none"/>
          <w:lang w:val="en-US" w:eastAsia="zh-CN"/>
        </w:rPr>
        <w:t>25楼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）开评标时间：202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日上午</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四、中选和公布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（一）本采购项目信息同步在广州国企阳光采购信息发布平台</w:t>
      </w:r>
      <w:r>
        <w:rPr>
          <w:rFonts w:hint="eastAsia" w:ascii="仿宋_GB2312" w:hAnsi="仿宋_GB2312" w:eastAsia="仿宋_GB2312" w:cs="仿宋_GB2312"/>
          <w:sz w:val="24"/>
          <w:lang w:eastAsia="zh-CN"/>
        </w:rPr>
        <w:t>（https://ygcg.gzggzy.cn）</w:t>
      </w:r>
      <w:r>
        <w:rPr>
          <w:rFonts w:hint="eastAsia" w:ascii="仿宋_GB2312" w:hAnsi="仿宋_GB2312" w:eastAsia="仿宋_GB2312" w:cs="仿宋_GB2312"/>
          <w:sz w:val="24"/>
          <w:lang w:val="en-US" w:eastAsia="zh-CN"/>
        </w:rPr>
        <w:t>及</w:t>
      </w:r>
      <w:r>
        <w:rPr>
          <w:rFonts w:hint="eastAsia" w:ascii="仿宋_GB2312" w:hAnsi="仿宋_GB2312" w:eastAsia="仿宋_GB2312" w:cs="仿宋_GB2312"/>
          <w:sz w:val="24"/>
        </w:rPr>
        <w:t>采购人的官方网站（http://www.gzcityone.com/）发布，符合资格的意向竞投人可自行查阅或下载相关文件/资料及信息，并按要求自行参与竞投工作，并自行承担所有与其参加竞投有关的全部费用。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（三）竞投文件的截止递交时间前，如递交的有效竞投文件少于三家，则采购招选工作失败。广州市城壹房地产顾问有限公司将按有关规定另行组织采购竞选工作。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（四）本采购文件的最终解释权归采购人。</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公布时间: 竞投截止日起30日内</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五、采购单位名称、地址及联系方式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采购人名称：广州市城壹房地产顾问有限公司</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采购人地址：广州市越秀区广电城投686产业园22楼城壹顾问</w:t>
      </w:r>
    </w:p>
    <w:p>
      <w:pPr>
        <w:spacing w:line="400" w:lineRule="exact"/>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rPr>
        <w:t>采购联系人：</w:t>
      </w:r>
      <w:r>
        <w:rPr>
          <w:rFonts w:hint="eastAsia" w:ascii="仿宋_GB2312" w:hAnsi="仿宋_GB2312" w:eastAsia="仿宋_GB2312" w:cs="仿宋_GB2312"/>
          <w:color w:val="000000" w:themeColor="text1"/>
          <w:sz w:val="24"/>
          <w:lang w:val="en-US" w:eastAsia="zh-CN"/>
        </w:rPr>
        <w:t>杨先生</w:t>
      </w:r>
    </w:p>
    <w:p>
      <w:pPr>
        <w:snapToGrid w:val="0"/>
        <w:spacing w:line="400" w:lineRule="exact"/>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rPr>
        <w:t>联系方式：</w:t>
      </w:r>
      <w:r>
        <w:rPr>
          <w:rFonts w:hint="eastAsia" w:ascii="仿宋_GB2312" w:hAnsi="仿宋_GB2312" w:eastAsia="仿宋_GB2312" w:cs="仿宋_GB2312"/>
          <w:color w:val="000000" w:themeColor="text1"/>
          <w:sz w:val="24"/>
          <w:lang w:val="en-US" w:eastAsia="zh-CN"/>
        </w:rPr>
        <w:t>15374099831</w:t>
      </w:r>
    </w:p>
    <w:p>
      <w:pPr>
        <w:widowControl/>
        <w:spacing w:line="400" w:lineRule="exact"/>
        <w:rPr>
          <w:rFonts w:ascii="仿宋_GB2312" w:hAnsi="仿宋_GB2312" w:eastAsia="仿宋_GB2312" w:cs="仿宋_GB2312"/>
          <w:kern w:val="0"/>
          <w:sz w:val="24"/>
        </w:rPr>
      </w:pPr>
    </w:p>
    <w:p>
      <w:pPr>
        <w:widowControl/>
        <w:spacing w:line="400" w:lineRule="exact"/>
        <w:rPr>
          <w:rFonts w:ascii="仿宋_GB2312" w:hAnsi="仿宋_GB2312" w:eastAsia="仿宋_GB2312" w:cs="仿宋_GB2312"/>
          <w:kern w:val="0"/>
          <w:sz w:val="24"/>
        </w:rPr>
      </w:pPr>
    </w:p>
    <w:p>
      <w:pPr>
        <w:widowControl/>
        <w:spacing w:line="400" w:lineRule="exact"/>
        <w:ind w:right="480"/>
        <w:jc w:val="right"/>
        <w:rPr>
          <w:rFonts w:ascii="仿宋_GB2312" w:hAnsi="仿宋_GB2312" w:eastAsia="仿宋_GB2312" w:cs="仿宋_GB2312"/>
          <w:sz w:val="24"/>
        </w:rPr>
      </w:pPr>
      <w:r>
        <w:rPr>
          <w:rFonts w:hint="eastAsia" w:ascii="仿宋_GB2312" w:hAnsi="仿宋_GB2312" w:eastAsia="仿宋_GB2312" w:cs="仿宋_GB2312"/>
          <w:kern w:val="0"/>
          <w:sz w:val="24"/>
        </w:rPr>
        <w:t xml:space="preserve">                      </w:t>
      </w:r>
      <w:bookmarkStart w:id="3" w:name="_Hlk111890385"/>
      <w:r>
        <w:rPr>
          <w:rFonts w:hint="eastAsia" w:ascii="仿宋_GB2312" w:hAnsi="仿宋_GB2312" w:eastAsia="仿宋_GB2312" w:cs="仿宋_GB2312"/>
          <w:kern w:val="0"/>
          <w:sz w:val="24"/>
        </w:rPr>
        <w:t xml:space="preserve"> </w:t>
      </w:r>
      <w:bookmarkStart w:id="4" w:name="_Hlk111890499"/>
      <w:r>
        <w:rPr>
          <w:rFonts w:hint="eastAsia" w:ascii="仿宋_GB2312" w:hAnsi="仿宋_GB2312" w:eastAsia="仿宋_GB2312" w:cs="仿宋_GB2312"/>
          <w:sz w:val="24"/>
        </w:rPr>
        <w:t>广州市城壹房地产顾问有限公司</w:t>
      </w:r>
      <w:bookmarkEnd w:id="3"/>
      <w:bookmarkEnd w:id="4"/>
    </w:p>
    <w:p>
      <w:pPr>
        <w:widowControl/>
        <w:wordWrap w:val="0"/>
        <w:spacing w:line="400" w:lineRule="exact"/>
        <w:ind w:right="1200"/>
        <w:jc w:val="right"/>
        <w:rPr>
          <w:rFonts w:ascii="仿宋_GB2312" w:hAnsi="仿宋_GB2312" w:eastAsia="仿宋_GB2312" w:cs="仿宋_GB2312"/>
          <w:color w:val="FF0000"/>
          <w:sz w:val="24"/>
        </w:rPr>
      </w:pP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日</w:t>
      </w:r>
    </w:p>
    <w:p>
      <w:pPr>
        <w:widowControl/>
        <w:spacing w:line="360" w:lineRule="auto"/>
        <w:rPr>
          <w:rFonts w:ascii="仿宋" w:hAnsi="仿宋" w:eastAsia="仿宋" w:cs="仿宋_GB2312"/>
          <w:kern w:val="0"/>
          <w:sz w:val="24"/>
        </w:rPr>
      </w:pPr>
    </w:p>
    <w:bookmarkEnd w:id="1"/>
    <w:p>
      <w:pPr>
        <w:spacing w:line="360" w:lineRule="auto"/>
        <w:ind w:firstLine="480" w:firstLineChars="200"/>
        <w:jc w:val="center"/>
        <w:rPr>
          <w:rFonts w:ascii="仿宋_GB2312" w:eastAsia="仿宋_GB2312"/>
          <w:b/>
          <w:sz w:val="32"/>
          <w:szCs w:val="32"/>
        </w:rPr>
      </w:pPr>
      <w:bookmarkStart w:id="5" w:name="_Toc130180923"/>
      <w:bookmarkStart w:id="6" w:name="_Toc130180737"/>
      <w:bookmarkStart w:id="7" w:name="_Toc334797738"/>
      <w:bookmarkStart w:id="8" w:name="_Toc238282338"/>
      <w:bookmarkStart w:id="9" w:name="_Toc130180842"/>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一、总体说明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投琶洲中心东塔第二阶段广告全案服务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 定义及解释</w:t>
      </w:r>
    </w:p>
    <w:p>
      <w:pPr>
        <w:spacing w:line="400" w:lineRule="exact"/>
        <w:rPr>
          <w:rFonts w:ascii="仿宋_GB2312" w:hAnsi="仿宋_GB2312" w:eastAsia="仿宋_GB2312" w:cs="仿宋_GB2312"/>
        </w:rPr>
      </w:pPr>
      <w:r>
        <w:rPr>
          <w:rFonts w:hint="eastAsia" w:ascii="仿宋_GB2312" w:hAnsi="仿宋_GB2312" w:eastAsia="仿宋_GB2312" w:cs="仿宋_GB2312"/>
        </w:rPr>
        <w:t>2.1 竞选文件中的标题仅起引导作用，而不应视为对竞选文件的内容的理解和解释。</w:t>
      </w:r>
    </w:p>
    <w:p>
      <w:pPr>
        <w:spacing w:line="400" w:lineRule="exact"/>
        <w:rPr>
          <w:rFonts w:ascii="仿宋_GB2312" w:hAnsi="仿宋_GB2312" w:eastAsia="仿宋_GB2312" w:cs="仿宋_GB2312"/>
        </w:rPr>
      </w:pPr>
      <w:r>
        <w:rPr>
          <w:rFonts w:hint="eastAsia" w:ascii="仿宋_GB2312" w:hAnsi="仿宋_GB2312" w:eastAsia="仿宋_GB2312" w:cs="仿宋_GB2312"/>
        </w:rPr>
        <w:t>2.2 服务：指竞投人为满足竞选文件要求而提供的服务。</w:t>
      </w:r>
    </w:p>
    <w:p>
      <w:pPr>
        <w:spacing w:line="400" w:lineRule="exact"/>
        <w:rPr>
          <w:rFonts w:ascii="仿宋_GB2312" w:hAnsi="仿宋_GB2312" w:eastAsia="仿宋_GB2312" w:cs="仿宋_GB2312"/>
        </w:rPr>
      </w:pPr>
      <w:r>
        <w:rPr>
          <w:rFonts w:hint="eastAsia" w:ascii="仿宋_GB2312" w:hAnsi="仿宋_GB2312" w:eastAsia="仿宋_GB2312" w:cs="仿宋_GB2312"/>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rPr>
        <w:t>。</w:t>
      </w:r>
    </w:p>
    <w:p>
      <w:pPr>
        <w:spacing w:line="400" w:lineRule="exact"/>
        <w:rPr>
          <w:rFonts w:ascii="仿宋_GB2312" w:hAnsi="仿宋_GB2312" w:eastAsia="仿宋_GB2312" w:cs="仿宋_GB2312"/>
        </w:rPr>
      </w:pPr>
      <w:r>
        <w:rPr>
          <w:rFonts w:hint="eastAsia" w:ascii="仿宋_GB2312" w:hAnsi="仿宋_GB2312" w:eastAsia="仿宋_GB2312" w:cs="仿宋_GB2312"/>
        </w:rPr>
        <w:t>2.4 竞投人：指与竞选文件规定要求一致，响应竞选，参加竞选竞争的合法公司。</w:t>
      </w:r>
    </w:p>
    <w:p>
      <w:pPr>
        <w:spacing w:line="400" w:lineRule="exact"/>
        <w:rPr>
          <w:rFonts w:ascii="仿宋_GB2312" w:hAnsi="仿宋_GB2312" w:eastAsia="仿宋_GB2312" w:cs="仿宋_GB2312"/>
        </w:rPr>
      </w:pPr>
      <w:r>
        <w:rPr>
          <w:rFonts w:hint="eastAsia" w:ascii="仿宋_GB2312" w:hAnsi="仿宋_GB2312" w:eastAsia="仿宋_GB2312" w:cs="仿宋_GB2312"/>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rPr>
      </w:pPr>
      <w:r>
        <w:rPr>
          <w:rFonts w:hint="eastAsia" w:ascii="仿宋_GB2312" w:hAnsi="仿宋_GB2312" w:eastAsia="仿宋_GB2312" w:cs="仿宋_GB2312"/>
        </w:rPr>
        <w:t>2.6 中标承判商：指经评标委员会评审推荐、采购方确认的获得本项目中标资格的竞投人。</w:t>
      </w:r>
    </w:p>
    <w:p>
      <w:pPr>
        <w:spacing w:line="400" w:lineRule="exact"/>
        <w:rPr>
          <w:rFonts w:ascii="仿宋_GB2312" w:hAnsi="仿宋_GB2312" w:eastAsia="仿宋_GB2312" w:cs="仿宋_GB2312"/>
        </w:rPr>
      </w:pPr>
      <w:r>
        <w:rPr>
          <w:rFonts w:hint="eastAsia" w:ascii="仿宋_GB2312" w:hAnsi="仿宋_GB2312" w:eastAsia="仿宋_GB2312" w:cs="仿宋_GB2312"/>
        </w:rPr>
        <w:t>2.7 合同：指依据本次服务竞投结果签订的协议。</w:t>
      </w:r>
    </w:p>
    <w:p>
      <w:pPr>
        <w:spacing w:line="400" w:lineRule="exact"/>
        <w:rPr>
          <w:rFonts w:ascii="仿宋_GB2312" w:hAnsi="宋体" w:eastAsia="仿宋_GB2312"/>
        </w:rPr>
      </w:pPr>
      <w:r>
        <w:rPr>
          <w:rFonts w:hint="eastAsia" w:ascii="仿宋_GB2312" w:hAnsi="宋体" w:eastAsia="仿宋_GB2312"/>
        </w:rPr>
        <w:t>2.8 日期：指公历日。</w:t>
      </w:r>
    </w:p>
    <w:p>
      <w:pPr>
        <w:spacing w:line="400" w:lineRule="exact"/>
        <w:rPr>
          <w:rFonts w:ascii="仿宋_GB2312" w:hAnsi="宋体" w:eastAsia="仿宋_GB2312"/>
        </w:rPr>
      </w:pPr>
      <w:r>
        <w:rPr>
          <w:rFonts w:hint="eastAsia" w:ascii="仿宋_GB2312" w:hAnsi="宋体" w:eastAsia="仿宋_GB2312"/>
        </w:rPr>
        <w:t>2.9 竞投适用法律：本次竞投适用的主要法律法规为《中华人民共和国招标投标法》及国家和地方政府竞投相关法规。</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3. 竞投费用</w:t>
      </w:r>
    </w:p>
    <w:p>
      <w:pPr>
        <w:spacing w:line="400" w:lineRule="exact"/>
        <w:rPr>
          <w:rFonts w:ascii="仿宋_GB2312" w:hAnsi="宋体" w:eastAsia="仿宋_GB2312"/>
        </w:rPr>
      </w:pPr>
      <w:r>
        <w:rPr>
          <w:rFonts w:hint="eastAsia" w:ascii="仿宋_GB2312" w:hAnsi="宋体" w:eastAsia="仿宋_GB2312"/>
        </w:rPr>
        <w:t>3.1 本采购项目不设竞投保证金。</w:t>
      </w:r>
    </w:p>
    <w:p>
      <w:pPr>
        <w:spacing w:line="400" w:lineRule="exact"/>
        <w:rPr>
          <w:rFonts w:ascii="仿宋_GB2312" w:hAnsi="宋体" w:eastAsia="仿宋_GB2312"/>
        </w:rPr>
      </w:pPr>
      <w:r>
        <w:rPr>
          <w:rFonts w:hint="eastAsia" w:ascii="仿宋_GB2312" w:hAnsi="宋体" w:eastAsia="仿宋_GB2312"/>
        </w:rPr>
        <w:t>3.2竞投人自行承担所有与编写和提交竞投文件的有关一切费用。</w:t>
      </w:r>
    </w:p>
    <w:p>
      <w:pPr>
        <w:spacing w:line="400" w:lineRule="exact"/>
        <w:rPr>
          <w:rFonts w:ascii="Calibri" w:hAnsi="Calibri"/>
        </w:rPr>
      </w:pPr>
    </w:p>
    <w:p>
      <w:pPr>
        <w:spacing w:line="400" w:lineRule="exact"/>
        <w:rPr>
          <w:rFonts w:ascii="仿宋_GB2312" w:hAnsi="宋体" w:eastAsia="仿宋_GB2312"/>
          <w:sz w:val="24"/>
        </w:rPr>
      </w:pPr>
      <w:r>
        <w:rPr>
          <w:rFonts w:hint="eastAsia" w:ascii="仿宋_GB2312" w:hAnsi="宋体" w:eastAsia="仿宋_GB2312"/>
          <w:sz w:val="24"/>
        </w:rPr>
        <w:t>二、竞投文件</w:t>
      </w:r>
    </w:p>
    <w:p>
      <w:pPr>
        <w:spacing w:line="400" w:lineRule="exact"/>
        <w:rPr>
          <w:rFonts w:ascii="仿宋_GB2312" w:hAnsi="宋体" w:eastAsia="仿宋_GB2312"/>
          <w:sz w:val="24"/>
        </w:rPr>
      </w:pPr>
      <w:r>
        <w:rPr>
          <w:rFonts w:hint="eastAsia" w:ascii="仿宋_GB2312" w:hAnsi="宋体" w:eastAsia="仿宋_GB2312"/>
          <w:sz w:val="24"/>
        </w:rPr>
        <w:t>4. 竞投文件的构成</w:t>
      </w:r>
    </w:p>
    <w:p>
      <w:pPr>
        <w:spacing w:line="400" w:lineRule="exact"/>
        <w:rPr>
          <w:rFonts w:ascii="仿宋_GB2312" w:hAnsi="宋体" w:eastAsia="仿宋_GB2312"/>
        </w:rPr>
      </w:pPr>
      <w:r>
        <w:rPr>
          <w:rFonts w:hint="eastAsia" w:ascii="仿宋_GB2312" w:hAnsi="宋体" w:eastAsia="仿宋_GB2312"/>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rPr>
      </w:pPr>
      <w:r>
        <w:rPr>
          <w:rFonts w:hint="eastAsia" w:ascii="仿宋_GB2312" w:hAnsi="宋体" w:eastAsia="仿宋_GB2312"/>
        </w:rPr>
        <w:t>4.2 竞投文件应装钉牢固不可拆卸，如因装钉不牢固导致的任何损失由竞投人承担。</w:t>
      </w:r>
    </w:p>
    <w:p>
      <w:pPr>
        <w:spacing w:line="400" w:lineRule="exact"/>
        <w:rPr>
          <w:rFonts w:ascii="仿宋_GB2312" w:hAnsi="宋体" w:eastAsia="仿宋_GB2312"/>
        </w:rPr>
      </w:pPr>
      <w:r>
        <w:rPr>
          <w:rFonts w:hint="eastAsia" w:ascii="仿宋_GB2312" w:hAnsi="宋体" w:eastAsia="仿宋_GB2312"/>
        </w:rPr>
        <w:t>4.3 所有竞投文件（除特殊规格的图纸等外）应按A4规格制作。</w:t>
      </w:r>
    </w:p>
    <w:p>
      <w:pPr>
        <w:spacing w:line="400" w:lineRule="exact"/>
        <w:rPr>
          <w:rFonts w:ascii="仿宋_GB2312" w:hAnsi="宋体" w:eastAsia="仿宋_GB2312"/>
        </w:rPr>
      </w:pPr>
      <w:r>
        <w:rPr>
          <w:rFonts w:hint="eastAsia" w:ascii="仿宋_GB2312" w:hAnsi="宋体" w:eastAsia="仿宋_GB2312"/>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rPr>
      </w:pPr>
      <w:r>
        <w:rPr>
          <w:rFonts w:hint="eastAsia" w:ascii="仿宋_GB2312" w:hAnsi="仿宋_GB2312" w:eastAsia="仿宋_GB2312" w:cs="仿宋_GB2312"/>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rPr>
      </w:pPr>
      <w:r>
        <w:rPr>
          <w:rFonts w:hint="eastAsia" w:ascii="仿宋_GB2312" w:hAnsi="仿宋_GB2312" w:eastAsia="仿宋_GB2312" w:cs="仿宋_GB2312"/>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rPr>
      </w:pPr>
      <w:r>
        <w:rPr>
          <w:rFonts w:hint="eastAsia" w:ascii="仿宋_GB2312" w:hAnsi="仿宋_GB2312" w:eastAsia="仿宋_GB2312" w:cs="仿宋_GB2312"/>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 竞选文件的修改与撤回</w:t>
      </w:r>
    </w:p>
    <w:p>
      <w:pPr>
        <w:spacing w:line="400" w:lineRule="exact"/>
        <w:rPr>
          <w:rFonts w:ascii="仿宋_GB2312" w:hAnsi="仿宋_GB2312" w:eastAsia="仿宋_GB2312" w:cs="仿宋_GB2312"/>
        </w:rPr>
      </w:pPr>
      <w:r>
        <w:rPr>
          <w:rFonts w:hint="eastAsia" w:ascii="仿宋_GB2312" w:hAnsi="仿宋_GB2312" w:eastAsia="仿宋_GB2312" w:cs="仿宋_GB2312"/>
        </w:rPr>
        <w:t>5.1 在竞投截止时间之前，竞投人可以修改或撤回其竞投文件，但须书面通知采购方。</w:t>
      </w:r>
    </w:p>
    <w:p>
      <w:pPr>
        <w:spacing w:line="400" w:lineRule="exact"/>
        <w:rPr>
          <w:rFonts w:ascii="仿宋_GB2312" w:hAnsi="仿宋_GB2312" w:eastAsia="仿宋_GB2312" w:cs="仿宋_GB2312"/>
        </w:rPr>
      </w:pPr>
      <w:r>
        <w:rPr>
          <w:rFonts w:hint="eastAsia" w:ascii="仿宋_GB2312" w:hAnsi="仿宋_GB2312" w:eastAsia="仿宋_GB2312" w:cs="仿宋_GB2312"/>
        </w:rPr>
        <w:t>5.2 在竞投截止时间之后，采购方不接受竞投人对竞投文件做任何修改及撤回。</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三、竞投文件的编制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 竞投语言及计量</w:t>
      </w:r>
    </w:p>
    <w:p>
      <w:pPr>
        <w:spacing w:line="400" w:lineRule="exact"/>
        <w:rPr>
          <w:rFonts w:ascii="仿宋_GB2312" w:hAnsi="仿宋_GB2312" w:eastAsia="仿宋_GB2312" w:cs="仿宋_GB2312"/>
        </w:rPr>
      </w:pPr>
      <w:r>
        <w:rPr>
          <w:rFonts w:hint="eastAsia" w:ascii="仿宋_GB2312" w:hAnsi="仿宋_GB2312" w:eastAsia="仿宋_GB2312" w:cs="仿宋_GB2312"/>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6.3 竞投人须按照竞选文件指定的格式填写各种价格单，价格单中的报价应计算正确。</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 竞投文件内容</w:t>
      </w:r>
    </w:p>
    <w:p>
      <w:pPr>
        <w:spacing w:line="400" w:lineRule="exact"/>
        <w:rPr>
          <w:rFonts w:ascii="仿宋_GB2312" w:hAnsi="仿宋_GB2312" w:eastAsia="仿宋_GB2312" w:cs="仿宋_GB2312"/>
        </w:rPr>
      </w:pPr>
      <w:r>
        <w:rPr>
          <w:rFonts w:hint="eastAsia" w:ascii="仿宋_GB2312" w:hAnsi="仿宋_GB2312" w:eastAsia="仿宋_GB2312" w:cs="仿宋_GB2312"/>
        </w:rPr>
        <w:t>7.1 竞投人编写的竞投文件及排序应包括下列部分：</w:t>
      </w:r>
    </w:p>
    <w:p>
      <w:pPr>
        <w:spacing w:line="400" w:lineRule="exact"/>
        <w:rPr>
          <w:rFonts w:ascii="仿宋_GB2312" w:hAnsi="仿宋_GB2312" w:eastAsia="仿宋_GB2312" w:cs="仿宋_GB2312"/>
        </w:rPr>
      </w:pPr>
      <w:r>
        <w:rPr>
          <w:rFonts w:hint="eastAsia" w:ascii="仿宋_GB2312" w:hAnsi="仿宋_GB2312" w:eastAsia="仿宋_GB2312" w:cs="仿宋_GB2312"/>
        </w:rPr>
        <w:t>1）竞投人公司资质等相关证明文件；</w:t>
      </w:r>
    </w:p>
    <w:p>
      <w:pPr>
        <w:spacing w:line="400" w:lineRule="exact"/>
        <w:rPr>
          <w:rFonts w:ascii="仿宋_GB2312" w:hAnsi="仿宋_GB2312" w:eastAsia="仿宋_GB2312" w:cs="仿宋_GB2312"/>
        </w:rPr>
      </w:pPr>
      <w:r>
        <w:rPr>
          <w:rFonts w:hint="eastAsia" w:ascii="仿宋_GB2312" w:hAnsi="仿宋_GB2312" w:eastAsia="仿宋_GB2312" w:cs="仿宋_GB2312"/>
        </w:rPr>
        <w:t>（2）竞投报价执行清单（参考附件5）；</w:t>
      </w:r>
    </w:p>
    <w:p>
      <w:pPr>
        <w:spacing w:line="400" w:lineRule="exact"/>
        <w:rPr>
          <w:rFonts w:ascii="仿宋_GB2312" w:hAnsi="仿宋_GB2312" w:eastAsia="仿宋_GB2312" w:cs="仿宋_GB2312"/>
        </w:rPr>
      </w:pPr>
      <w:r>
        <w:rPr>
          <w:rFonts w:hint="eastAsia" w:ascii="仿宋_GB2312" w:hAnsi="仿宋_GB2312" w:eastAsia="仿宋_GB2312" w:cs="仿宋_GB2312"/>
        </w:rPr>
        <w:t>（3）服务响应文件，包括但不限于以下内容：</w:t>
      </w:r>
    </w:p>
    <w:p>
      <w:pPr>
        <w:spacing w:line="400" w:lineRule="exact"/>
        <w:rPr>
          <w:rFonts w:ascii="仿宋_GB2312" w:hAnsi="仿宋_GB2312" w:eastAsia="仿宋_GB2312" w:cs="仿宋_GB2312"/>
        </w:rPr>
      </w:pPr>
      <w:r>
        <w:rPr>
          <w:rFonts w:hint="eastAsia" w:ascii="仿宋_GB2312" w:hAnsi="仿宋_GB2312" w:eastAsia="仿宋_GB2312" w:cs="仿宋_GB2312"/>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rPr>
      </w:pPr>
      <w:r>
        <w:rPr>
          <w:rFonts w:hint="eastAsia" w:ascii="仿宋_GB2312" w:hAnsi="仿宋_GB2312" w:eastAsia="仿宋_GB2312" w:cs="仿宋_GB2312"/>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szCs w:val="21"/>
        </w:rPr>
        <w:pict>
          <v:shape id="_x0000_s1026" o:spid="_x0000_s1026" o:spt="202" type="#_x0000_t202" style="position:absolute;left:0pt;margin-left:2.1pt;margin-top:3.45pt;height:113.5pt;width:287.65pt;z-index:251660288;mso-width-relative:page;mso-height-relative:page;"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path/>
            <v:fill focussize="0,0"/>
            <v:stroke joinstyle="miter"/>
            <v:imagedata o:title=""/>
            <o:lock v:ext="edit"/>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项目名称：城投琶洲中心东塔第二阶段广告全案服务项目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（1）递交地点：广州市海珠区新港东路608号25楼。</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（2）竞投文件递交受理时间于202</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日上午</w:t>
      </w:r>
      <w:r>
        <w:rPr>
          <w:rFonts w:hint="eastAsia" w:ascii="仿宋_GB2312" w:hAnsi="仿宋_GB2312" w:eastAsia="仿宋_GB2312" w:cs="仿宋_GB2312"/>
          <w:szCs w:val="21"/>
          <w:lang w:val="en-US" w:eastAsia="zh-CN"/>
        </w:rPr>
        <w:t>9:0</w:t>
      </w:r>
      <w:r>
        <w:rPr>
          <w:rFonts w:hint="eastAsia" w:ascii="仿宋_GB2312" w:hAnsi="仿宋_GB2312" w:eastAsia="仿宋_GB2312" w:cs="仿宋_GB2312"/>
          <w:szCs w:val="21"/>
        </w:rPr>
        <w:t>0截止；逾期不予受理。</w:t>
      </w:r>
    </w:p>
    <w:p>
      <w:pPr>
        <w:pStyle w:val="2"/>
        <w:rPr>
          <w:rFonts w:hint="eastAsia"/>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 述标要求</w:t>
      </w:r>
    </w:p>
    <w:p>
      <w:pPr>
        <w:spacing w:line="40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9.1本项目要求进行现场述标，述标顺序将在现场随机抽签，每家单位依次分别进行述标，每家单位述标时间不超过40分钟，参与述标环节人员不超过2人。</w:t>
      </w:r>
    </w:p>
    <w:p>
      <w:pPr>
        <w:spacing w:line="40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9.2述标人员需为拟派的项目负责人或</w:t>
      </w:r>
      <w:r>
        <w:rPr>
          <w:rFonts w:hint="eastAsia" w:ascii="仿宋_GB2312" w:hAnsi="宋体" w:eastAsia="仿宋_GB2312"/>
          <w:szCs w:val="21"/>
          <w:lang w:val="en-US" w:eastAsia="zh-CN"/>
        </w:rPr>
        <w:t>授权委托代表</w:t>
      </w:r>
    </w:p>
    <w:p/>
    <w:p/>
    <w:p/>
    <w:p>
      <w:bookmarkStart w:id="10" w:name="_Toc428434793"/>
      <w:bookmarkStart w:id="11" w:name="_Toc427828529"/>
      <w:r>
        <w:rPr>
          <w:rFonts w:ascii="仿宋" w:hAnsi="仿宋" w:eastAsia="仿宋" w:cs="仿宋"/>
          <w:sz w:val="32"/>
          <w:szCs w:val="32"/>
        </w:rPr>
        <w:br w:type="page"/>
      </w:r>
      <w:bookmarkEnd w:id="10"/>
      <w:bookmarkEnd w:id="11"/>
      <w:r>
        <w:rPr>
          <w:rFonts w:hint="eastAsia" w:ascii="仿宋" w:hAnsi="仿宋" w:eastAsia="仿宋" w:cs="仿宋"/>
          <w:sz w:val="32"/>
          <w:szCs w:val="32"/>
        </w:rPr>
        <w:t>三</w:t>
      </w:r>
      <w:r>
        <w:rPr>
          <w:rFonts w:hint="eastAsia" w:ascii="仿宋_GB2312" w:eastAsia="仿宋_GB2312"/>
          <w:b/>
          <w:sz w:val="32"/>
          <w:szCs w:val="32"/>
        </w:rPr>
        <w:t>、评审/选定方法及标准</w:t>
      </w:r>
    </w:p>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bCs/>
                <w:szCs w:val="21"/>
              </w:rPr>
            </w:pPr>
            <w:r>
              <w:rPr>
                <w:rFonts w:hint="eastAsia" w:ascii="仿宋_GB2312" w:hAnsi="宋体" w:eastAsia="仿宋_GB2312"/>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Cs/>
                <w:szCs w:val="21"/>
              </w:rPr>
            </w:pPr>
            <w:r>
              <w:rPr>
                <w:rFonts w:hint="eastAsia" w:ascii="仿宋_GB2312" w:hAnsi="宋体" w:eastAsia="仿宋_GB2312"/>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bCs/>
                <w:szCs w:val="21"/>
              </w:rPr>
            </w:pPr>
            <w:r>
              <w:rPr>
                <w:rFonts w:hint="eastAsia" w:ascii="仿宋_GB2312" w:hAnsi="宋体" w:eastAsia="仿宋_GB2312"/>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 评审小组将根据采购文件的规定，对各竞投文件进行资格及符合性审查。（具体审查标准见后附表）</w:t>
            </w:r>
          </w:p>
          <w:p>
            <w:pPr>
              <w:widowControl/>
              <w:spacing w:line="400" w:lineRule="exact"/>
              <w:rPr>
                <w:rFonts w:ascii="仿宋_GB2312" w:hAnsi="宋体" w:eastAsia="仿宋_GB2312"/>
                <w:szCs w:val="21"/>
              </w:rPr>
            </w:pPr>
            <w:r>
              <w:rPr>
                <w:rFonts w:hint="eastAsia" w:ascii="仿宋_GB2312" w:hAnsi="宋体" w:eastAsia="仿宋_GB2312"/>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szCs w:val="21"/>
              </w:rPr>
            </w:pPr>
            <w:r>
              <w:rPr>
                <w:rFonts w:hint="eastAsia" w:ascii="仿宋_GB2312" w:hAnsi="宋体" w:eastAsia="仿宋_GB2312"/>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评审标准</w:t>
            </w:r>
          </w:p>
          <w:p>
            <w:pPr>
              <w:spacing w:line="400" w:lineRule="exact"/>
              <w:jc w:val="center"/>
              <w:rPr>
                <w:rFonts w:ascii="仿宋_GB2312" w:hAnsi="宋体" w:eastAsia="仿宋_GB2312"/>
                <w:szCs w:val="21"/>
              </w:rPr>
            </w:pPr>
            <w:r>
              <w:rPr>
                <w:rFonts w:hint="eastAsia" w:ascii="仿宋_GB2312" w:hAnsi="宋体" w:eastAsia="仿宋_GB2312"/>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4.经济评分：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szCs w:val="21"/>
              </w:rPr>
            </w:pPr>
            <w:r>
              <w:rPr>
                <w:rFonts w:hint="eastAsia" w:ascii="仿宋_GB2312" w:hAnsi="宋体" w:eastAsia="仿宋_GB2312"/>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商务评分+项目方案评分+经济评分=综合得分。评委根据竞投人综合得分高低排定名次。</w:t>
            </w:r>
          </w:p>
          <w:p>
            <w:pPr>
              <w:widowControl/>
              <w:spacing w:line="400" w:lineRule="exact"/>
              <w:rPr>
                <w:rFonts w:ascii="仿宋_GB2312" w:hAnsi="宋体" w:eastAsia="仿宋_GB2312"/>
                <w:szCs w:val="21"/>
              </w:rPr>
            </w:pPr>
            <w:r>
              <w:rPr>
                <w:rFonts w:hint="eastAsia" w:ascii="仿宋_GB2312" w:hAnsi="宋体" w:eastAsia="仿宋_GB2312"/>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szCs w:val="21"/>
              </w:rPr>
            </w:pPr>
            <w:r>
              <w:rPr>
                <w:rFonts w:hint="eastAsia" w:ascii="仿宋_GB2312" w:hAnsi="宋体" w:eastAsia="仿宋_GB2312"/>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tbl>
    <w:p>
      <w:pPr>
        <w:rPr>
          <w:rFonts w:ascii="仿宋" w:hAnsi="仿宋" w:eastAsia="仿宋"/>
        </w:rPr>
      </w:pPr>
    </w:p>
    <w:p>
      <w:pPr>
        <w:rPr>
          <w:rFonts w:ascii="仿宋" w:hAnsi="仿宋" w:eastAsia="仿宋"/>
        </w:rPr>
      </w:pPr>
    </w:p>
    <w:bookmarkEnd w:id="5"/>
    <w:bookmarkEnd w:id="6"/>
    <w:bookmarkEnd w:id="7"/>
    <w:bookmarkEnd w:id="8"/>
    <w:bookmarkEnd w:id="9"/>
    <w:p>
      <w:pPr>
        <w:keepNext/>
        <w:keepLines/>
        <w:spacing w:before="260" w:after="260" w:line="400" w:lineRule="exact"/>
        <w:outlineLvl w:val="1"/>
        <w:rPr>
          <w:rFonts w:ascii="宋体" w:hAnsi="宋体" w:eastAsia="黑体" w:cs="宋体"/>
          <w:sz w:val="24"/>
        </w:rPr>
      </w:pPr>
      <w:bookmarkStart w:id="12" w:name="_Toc334797765"/>
      <w:r>
        <w:rPr>
          <w:rFonts w:ascii="仿宋" w:hAnsi="仿宋" w:eastAsia="仿宋"/>
          <w:sz w:val="24"/>
        </w:rPr>
        <w:br w:type="page"/>
      </w:r>
      <w:bookmarkEnd w:id="12"/>
      <w:bookmarkStart w:id="13" w:name="OLE_LINK3"/>
      <w:bookmarkStart w:id="14" w:name="OLE_LINK2"/>
      <w:r>
        <w:rPr>
          <w:rFonts w:hint="eastAsia" w:ascii="宋体" w:hAnsi="宋体" w:eastAsia="黑体" w:cs="宋体"/>
          <w:sz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符合性检查表</w:t>
      </w:r>
    </w:p>
    <w:p>
      <w:pPr>
        <w:wordWrap w:val="0"/>
        <w:jc w:val="right"/>
        <w:rPr>
          <w:rFonts w:ascii="Calibri" w:hAnsi="Calibri"/>
        </w:rPr>
      </w:pPr>
      <w:r>
        <w:rPr>
          <w:rFonts w:hint="eastAsia" w:ascii="Calibri" w:hAnsi="Calibri"/>
        </w:rPr>
        <w:t xml:space="preserve">项目名称：              </w:t>
      </w:r>
    </w:p>
    <w:p>
      <w:pPr>
        <w:jc w:val="right"/>
        <w:rPr>
          <w:rFonts w:ascii="Calibri" w:hAnsi="Calibri"/>
        </w:rPr>
      </w:pPr>
      <w:r>
        <w:rPr>
          <w:rFonts w:hint="eastAsia" w:ascii="Calibri" w:hAnsi="Calibri"/>
        </w:rPr>
        <w:t>日期：    年  月   日</w:t>
      </w:r>
    </w:p>
    <w:tbl>
      <w:tblPr>
        <w:tblStyle w:val="13"/>
        <w:tblW w:w="9534"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4820" w:type="dxa"/>
            <w:vAlign w:val="center"/>
          </w:tcPr>
          <w:p>
            <w:pPr>
              <w:spacing w:line="400" w:lineRule="exact"/>
              <w:jc w:val="center"/>
              <w:rPr>
                <w:rFonts w:ascii="仿宋_GB2312" w:hAnsi="宋体" w:eastAsia="仿宋_GB2312"/>
                <w:szCs w:val="21"/>
              </w:rPr>
            </w:pPr>
            <w:r>
              <w:rPr>
                <w:rFonts w:hint="eastAsia" w:ascii="仿宋_GB2312" w:hAnsi="宋体" w:eastAsia="仿宋_GB2312"/>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4820" w:type="dxa"/>
            <w:vAlign w:val="center"/>
          </w:tcPr>
          <w:p>
            <w:pPr>
              <w:spacing w:line="400" w:lineRule="exact"/>
              <w:rPr>
                <w:rFonts w:ascii="仿宋_GB2312" w:hAnsi="宋体"/>
                <w:szCs w:val="21"/>
              </w:rPr>
            </w:pPr>
            <w:r>
              <w:rPr>
                <w:rFonts w:hint="eastAsia" w:ascii="仿宋_GB2312" w:hAnsi="宋体" w:eastAsia="仿宋_GB2312"/>
                <w:szCs w:val="21"/>
              </w:rPr>
              <w:t>有效法人证明书及授权委托书。</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hint="eastAsia" w:ascii="仿宋_GB2312" w:hAnsi="宋体" w:eastAsia="仿宋_GB2312"/>
                <w:szCs w:val="21"/>
                <w:lang w:val="en-US" w:eastAsia="zh-CN"/>
              </w:rPr>
            </w:pPr>
            <w:r>
              <w:rPr>
                <w:rFonts w:hint="eastAsia" w:ascii="仿宋_GB2312" w:hAnsi="宋体" w:eastAsia="仿宋_GB2312"/>
                <w:szCs w:val="21"/>
                <w:lang w:val="en-US" w:eastAsia="zh-CN"/>
              </w:rPr>
              <w:t>4</w:t>
            </w:r>
          </w:p>
        </w:tc>
        <w:tc>
          <w:tcPr>
            <w:tcW w:w="4820" w:type="dxa"/>
            <w:vAlign w:val="center"/>
          </w:tcPr>
          <w:p>
            <w:pPr>
              <w:spacing w:line="400" w:lineRule="exact"/>
              <w:rPr>
                <w:rFonts w:hint="eastAsia" w:ascii="仿宋_GB2312" w:hAnsi="宋体" w:eastAsia="仿宋"/>
                <w:szCs w:val="21"/>
                <w:lang w:val="en-US" w:eastAsia="zh-CN"/>
              </w:rPr>
            </w:pPr>
            <w:r>
              <w:rPr>
                <w:rFonts w:hint="eastAsia" w:ascii="仿宋_GB2312" w:hAnsi="宋体" w:eastAsia="仿宋_GB2312"/>
                <w:szCs w:val="21"/>
                <w:lang w:val="en-US" w:eastAsia="zh-CN"/>
              </w:rPr>
              <w:t>项目负责人或授权委托代表进行现场</w:t>
            </w:r>
            <w:r>
              <w:rPr>
                <w:rFonts w:hint="eastAsia" w:ascii="仿宋" w:hAnsi="仿宋" w:eastAsia="仿宋" w:cs="宋体"/>
                <w:kern w:val="0"/>
                <w:szCs w:val="21"/>
              </w:rPr>
              <w:t>服务方案</w:t>
            </w:r>
            <w:r>
              <w:rPr>
                <w:rFonts w:hint="eastAsia" w:ascii="仿宋" w:hAnsi="仿宋" w:eastAsia="仿宋" w:cs="宋体"/>
                <w:kern w:val="0"/>
                <w:szCs w:val="21"/>
                <w:lang w:val="en-US" w:eastAsia="zh-CN"/>
              </w:rPr>
              <w:t>讲解。</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结论（通过/不通过）</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bl>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竞投人分栏中填写“√”表示该项符合竞投文件要求，“×”表示该项目不符合竞投文件要求。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结论栏中填写“通过”表示该竞投人竞投文件符合要求，“×”表示该竞投人竞投文件不符合要求。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szCs w:val="21"/>
        </w:rPr>
      </w:pPr>
    </w:p>
    <w:p>
      <w:pPr>
        <w:spacing w:line="400" w:lineRule="exact"/>
        <w:rPr>
          <w:rFonts w:ascii="仿宋_GB2312" w:hAnsi="宋体" w:eastAsia="仿宋_GB2312" w:cs="宋体"/>
          <w:b/>
          <w:bCs/>
          <w:sz w:val="30"/>
          <w:szCs w:val="30"/>
        </w:rPr>
      </w:pPr>
      <w:r>
        <w:rPr>
          <w:rFonts w:hint="eastAsia" w:ascii="仿宋_GB2312" w:hAnsi="宋体" w:eastAsia="仿宋_GB2312"/>
          <w:szCs w:val="21"/>
        </w:rPr>
        <w:t>评委签名：</w:t>
      </w:r>
    </w:p>
    <w:p>
      <w:pPr>
        <w:spacing w:line="400" w:lineRule="exact"/>
        <w:rPr>
          <w:rFonts w:ascii="仿宋_GB2312" w:hAnsi="宋体" w:eastAsia="仿宋_GB2312" w:cs="宋体"/>
          <w:b/>
          <w:bCs/>
          <w:sz w:val="30"/>
          <w:szCs w:val="30"/>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3"/>
    <w:bookmarkEnd w:id="14"/>
    <w:tbl>
      <w:tblPr>
        <w:tblStyle w:val="13"/>
        <w:tblW w:w="5766" w:type="pct"/>
        <w:tblInd w:w="-703" w:type="dxa"/>
        <w:tblLayout w:type="autofit"/>
        <w:tblCellMar>
          <w:top w:w="0" w:type="dxa"/>
          <w:left w:w="108" w:type="dxa"/>
          <w:bottom w:w="0" w:type="dxa"/>
          <w:right w:w="108" w:type="dxa"/>
        </w:tblCellMar>
      </w:tblPr>
      <w:tblGrid>
        <w:gridCol w:w="727"/>
        <w:gridCol w:w="694"/>
        <w:gridCol w:w="1333"/>
        <w:gridCol w:w="659"/>
        <w:gridCol w:w="5324"/>
        <w:gridCol w:w="1091"/>
      </w:tblGrid>
      <w:tr>
        <w:tblPrEx>
          <w:tblCellMar>
            <w:top w:w="0" w:type="dxa"/>
            <w:left w:w="108" w:type="dxa"/>
            <w:bottom w:w="0" w:type="dxa"/>
            <w:right w:w="108" w:type="dxa"/>
          </w:tblCellMar>
        </w:tblPrEx>
        <w:trPr>
          <w:trHeight w:val="556"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35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6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3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27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_GB2312" w:hAnsi="仿宋_GB2312" w:eastAsia="仿宋_GB2312" w:cs="仿宋_GB2312"/>
                <w:bCs/>
                <w:sz w:val="24"/>
              </w:rPr>
              <w:t>评审标准</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CellMar>
            <w:top w:w="0" w:type="dxa"/>
            <w:left w:w="108" w:type="dxa"/>
            <w:bottom w:w="0" w:type="dxa"/>
            <w:right w:w="108" w:type="dxa"/>
          </w:tblCellMar>
        </w:tblPrEx>
        <w:trPr>
          <w:trHeight w:val="2466"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经济</w:t>
            </w:r>
            <w:r>
              <w:rPr>
                <w:rFonts w:hint="eastAsia" w:ascii="仿宋" w:hAnsi="仿宋" w:eastAsia="仿宋" w:cs="宋体"/>
                <w:kern w:val="0"/>
                <w:szCs w:val="21"/>
              </w:rPr>
              <w:t>评分</w:t>
            </w:r>
          </w:p>
        </w:tc>
        <w:tc>
          <w:tcPr>
            <w:tcW w:w="35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4</w:t>
            </w:r>
            <w:r>
              <w:rPr>
                <w:rFonts w:hint="eastAsia" w:ascii="仿宋" w:hAnsi="仿宋" w:eastAsia="仿宋" w:cs="宋体"/>
                <w:kern w:val="0"/>
                <w:szCs w:val="21"/>
              </w:rPr>
              <w:t>0</w:t>
            </w: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经济</w:t>
            </w:r>
            <w:r>
              <w:rPr>
                <w:rFonts w:hint="eastAsia" w:ascii="仿宋" w:hAnsi="仿宋" w:eastAsia="仿宋" w:cs="宋体"/>
                <w:kern w:val="0"/>
                <w:szCs w:val="21"/>
              </w:rPr>
              <w:t>得分</w:t>
            </w:r>
          </w:p>
        </w:tc>
        <w:tc>
          <w:tcPr>
            <w:tcW w:w="3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4</w:t>
            </w:r>
            <w:r>
              <w:rPr>
                <w:rFonts w:hint="eastAsia" w:ascii="仿宋" w:hAnsi="仿宋" w:eastAsia="仿宋" w:cs="宋体"/>
                <w:kern w:val="0"/>
                <w:szCs w:val="21"/>
              </w:rPr>
              <w:t>0</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以通过本项目资格及符合性检查且若位于[项目限价*80%，项目限价]区间的投标报价（不含税，下同）计算算术平均值，该算术平均值为评标基准价。投标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555"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77" w:hRule="atLeast"/>
        </w:trPr>
        <w:tc>
          <w:tcPr>
            <w:tcW w:w="3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3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5</w:t>
            </w: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3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5</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公司资信情况良好，拥有相关广告全案经验，每提供相应合同或中标通知书等相关证明获得</w:t>
            </w:r>
            <w:r>
              <w:rPr>
                <w:rFonts w:hint="eastAsia" w:ascii="仿宋" w:hAnsi="仿宋" w:eastAsia="仿宋" w:cs="宋体"/>
                <w:kern w:val="0"/>
                <w:szCs w:val="21"/>
                <w:lang w:val="en-US" w:eastAsia="zh-CN"/>
              </w:rPr>
              <w:t>1</w:t>
            </w:r>
            <w:r>
              <w:rPr>
                <w:rFonts w:hint="eastAsia" w:ascii="仿宋" w:hAnsi="仿宋" w:eastAsia="仿宋" w:cs="宋体"/>
                <w:kern w:val="0"/>
                <w:szCs w:val="21"/>
              </w:rPr>
              <w:t>分，最高得</w:t>
            </w:r>
            <w:r>
              <w:rPr>
                <w:rFonts w:hint="eastAsia" w:ascii="仿宋" w:hAnsi="仿宋" w:eastAsia="仿宋" w:cs="宋体"/>
                <w:kern w:val="0"/>
                <w:szCs w:val="21"/>
                <w:lang w:val="en-US" w:eastAsia="zh-CN"/>
              </w:rPr>
              <w:t>5</w:t>
            </w:r>
            <w:r>
              <w:rPr>
                <w:rFonts w:hint="eastAsia" w:ascii="仿宋" w:hAnsi="仿宋" w:eastAsia="仿宋" w:cs="宋体"/>
                <w:kern w:val="0"/>
                <w:szCs w:val="21"/>
              </w:rPr>
              <w:t>分。</w:t>
            </w:r>
          </w:p>
        </w:tc>
        <w:tc>
          <w:tcPr>
            <w:tcW w:w="555"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842" w:hRule="atLeast"/>
        </w:trPr>
        <w:tc>
          <w:tcPr>
            <w:tcW w:w="370"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353" w:type="pct"/>
            <w:vMerge w:val="restart"/>
            <w:tcBorders>
              <w:left w:val="single" w:color="auto" w:sz="4" w:space="0"/>
              <w:right w:val="single" w:color="auto" w:sz="4" w:space="0"/>
            </w:tcBorders>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55</w:t>
            </w: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切合项目推广诉求，提出项目全案广告</w:t>
            </w:r>
            <w:bookmarkStart w:id="16" w:name="_GoBack"/>
            <w:bookmarkEnd w:id="16"/>
          </w:p>
        </w:tc>
        <w:tc>
          <w:tcPr>
            <w:tcW w:w="3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2</w:t>
            </w:r>
            <w:r>
              <w:rPr>
                <w:rFonts w:hint="eastAsia" w:ascii="仿宋" w:hAnsi="仿宋" w:eastAsia="仿宋" w:cs="宋体"/>
                <w:kern w:val="0"/>
                <w:szCs w:val="21"/>
              </w:rPr>
              <w:t>0</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服务方所提供的营销推广方案内容符合项目销售阶段需求，具有创意性构思，平面设计画面优秀。</w:t>
            </w:r>
            <w:r>
              <w:rPr>
                <w:rFonts w:hint="eastAsia" w:ascii="仿宋" w:hAnsi="仿宋" w:eastAsia="仿宋" w:cs="宋体"/>
                <w:kern w:val="0"/>
                <w:szCs w:val="21"/>
                <w:lang w:val="en-US" w:eastAsia="zh-CN"/>
              </w:rPr>
              <w:t>10</w:t>
            </w:r>
            <w:r>
              <w:rPr>
                <w:rFonts w:hint="eastAsia" w:ascii="仿宋" w:hAnsi="仿宋" w:eastAsia="仿宋" w:cs="宋体"/>
                <w:kern w:val="0"/>
                <w:szCs w:val="21"/>
              </w:rPr>
              <w:t>-</w:t>
            </w:r>
            <w:r>
              <w:rPr>
                <w:rFonts w:hint="eastAsia" w:ascii="仿宋" w:hAnsi="仿宋" w:eastAsia="仿宋" w:cs="宋体"/>
                <w:kern w:val="0"/>
                <w:szCs w:val="21"/>
                <w:lang w:val="en-US" w:eastAsia="zh-CN"/>
              </w:rPr>
              <w:t>2</w:t>
            </w:r>
            <w:r>
              <w:rPr>
                <w:rFonts w:hint="eastAsia" w:ascii="仿宋" w:hAnsi="仿宋" w:eastAsia="仿宋" w:cs="宋体"/>
                <w:kern w:val="0"/>
                <w:szCs w:val="21"/>
              </w:rPr>
              <w:t>0分</w:t>
            </w:r>
          </w:p>
          <w:p>
            <w:pPr>
              <w:widowControl/>
              <w:jc w:val="left"/>
              <w:rPr>
                <w:rFonts w:ascii="仿宋" w:hAnsi="仿宋" w:eastAsia="仿宋" w:cs="宋体"/>
                <w:kern w:val="0"/>
                <w:szCs w:val="21"/>
              </w:rPr>
            </w:pPr>
            <w:r>
              <w:rPr>
                <w:rFonts w:hint="eastAsia" w:ascii="仿宋" w:hAnsi="仿宋" w:eastAsia="仿宋" w:cs="宋体"/>
                <w:kern w:val="0"/>
                <w:szCs w:val="21"/>
              </w:rPr>
              <w:t>服务方所提供的营销推广方案内容较符合项目销售阶段需求，较有创意性构思，平面设计画面较优。</w:t>
            </w:r>
            <w:r>
              <w:rPr>
                <w:rFonts w:hint="eastAsia" w:ascii="仿宋" w:hAnsi="仿宋" w:eastAsia="仿宋" w:cs="宋体"/>
                <w:kern w:val="0"/>
                <w:szCs w:val="21"/>
                <w:lang w:val="en-US" w:eastAsia="zh-CN"/>
              </w:rPr>
              <w:t>5</w:t>
            </w:r>
            <w:r>
              <w:rPr>
                <w:rFonts w:hint="eastAsia" w:ascii="仿宋" w:hAnsi="仿宋" w:eastAsia="仿宋" w:cs="宋体"/>
                <w:kern w:val="0"/>
                <w:szCs w:val="21"/>
              </w:rPr>
              <w:t>-</w:t>
            </w:r>
            <w:r>
              <w:rPr>
                <w:rFonts w:hint="eastAsia" w:ascii="仿宋" w:hAnsi="仿宋" w:eastAsia="仿宋" w:cs="宋体"/>
                <w:kern w:val="0"/>
                <w:szCs w:val="21"/>
                <w:lang w:val="en-US" w:eastAsia="zh-CN"/>
              </w:rPr>
              <w:t>9</w:t>
            </w:r>
            <w:r>
              <w:rPr>
                <w:rFonts w:hint="eastAsia" w:ascii="仿宋" w:hAnsi="仿宋" w:eastAsia="仿宋" w:cs="宋体"/>
                <w:kern w:val="0"/>
                <w:szCs w:val="21"/>
              </w:rPr>
              <w:t>分</w:t>
            </w:r>
          </w:p>
          <w:p>
            <w:pPr>
              <w:widowControl/>
              <w:jc w:val="left"/>
              <w:rPr>
                <w:rFonts w:ascii="仿宋" w:hAnsi="仿宋" w:eastAsia="仿宋" w:cs="宋体"/>
                <w:kern w:val="0"/>
                <w:szCs w:val="21"/>
              </w:rPr>
            </w:pPr>
            <w:r>
              <w:rPr>
                <w:rFonts w:hint="eastAsia" w:ascii="仿宋" w:hAnsi="仿宋" w:eastAsia="仿宋" w:cs="宋体"/>
                <w:kern w:val="0"/>
                <w:szCs w:val="21"/>
              </w:rPr>
              <w:t>服务方所提供的营销推广方案内容部分符合项目销售阶段需求，创意性构思一般，平面设计画面一般。0-</w:t>
            </w:r>
            <w:r>
              <w:rPr>
                <w:rFonts w:hint="eastAsia" w:ascii="仿宋" w:hAnsi="仿宋" w:eastAsia="仿宋" w:cs="宋体"/>
                <w:kern w:val="0"/>
                <w:szCs w:val="21"/>
                <w:lang w:val="en-US" w:eastAsia="zh-CN"/>
              </w:rPr>
              <w:t>4</w:t>
            </w:r>
            <w:r>
              <w:rPr>
                <w:rFonts w:hint="eastAsia" w:ascii="仿宋" w:hAnsi="仿宋" w:eastAsia="仿宋" w:cs="宋体"/>
                <w:kern w:val="0"/>
                <w:szCs w:val="21"/>
              </w:rPr>
              <w:t>分</w:t>
            </w:r>
          </w:p>
        </w:tc>
        <w:tc>
          <w:tcPr>
            <w:tcW w:w="555"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376" w:hRule="atLeast"/>
        </w:trPr>
        <w:tc>
          <w:tcPr>
            <w:tcW w:w="370"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353"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方案创意程度，提出营销创意方案和推广策略</w:t>
            </w:r>
          </w:p>
        </w:tc>
        <w:tc>
          <w:tcPr>
            <w:tcW w:w="3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方案新颖，推广营销策略逻辑清晰，推广建议方案内容丰富 7-10 分</w:t>
            </w:r>
          </w:p>
          <w:p>
            <w:pPr>
              <w:widowControl/>
              <w:jc w:val="left"/>
              <w:rPr>
                <w:rFonts w:ascii="仿宋" w:hAnsi="仿宋" w:eastAsia="仿宋" w:cs="宋体"/>
                <w:kern w:val="0"/>
                <w:szCs w:val="21"/>
              </w:rPr>
            </w:pPr>
            <w:r>
              <w:rPr>
                <w:rFonts w:hint="eastAsia" w:ascii="仿宋" w:hAnsi="仿宋" w:eastAsia="仿宋" w:cs="宋体"/>
                <w:kern w:val="0"/>
                <w:szCs w:val="21"/>
              </w:rPr>
              <w:t>方案较新颖，推广营销策略逻辑较清晰，推广建议方案内容较丰富4-6 分</w:t>
            </w:r>
          </w:p>
          <w:p>
            <w:pPr>
              <w:widowControl/>
              <w:jc w:val="left"/>
              <w:rPr>
                <w:rFonts w:ascii="仿宋" w:hAnsi="仿宋" w:eastAsia="仿宋" w:cs="宋体"/>
                <w:kern w:val="0"/>
                <w:szCs w:val="21"/>
              </w:rPr>
            </w:pPr>
            <w:r>
              <w:rPr>
                <w:rFonts w:hint="eastAsia" w:ascii="仿宋" w:hAnsi="仿宋" w:eastAsia="仿宋" w:cs="宋体"/>
                <w:kern w:val="0"/>
                <w:szCs w:val="21"/>
              </w:rPr>
              <w:t>方案缺乏新颖想法，推广营销策略逻辑一般，推广建议方案内容单一 0-3 分</w:t>
            </w:r>
          </w:p>
        </w:tc>
        <w:tc>
          <w:tcPr>
            <w:tcW w:w="555"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274" w:hRule="atLeast"/>
        </w:trPr>
        <w:tc>
          <w:tcPr>
            <w:tcW w:w="370"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353"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根据项目的产品， 定制广告以及微信营销传播活动建议</w:t>
            </w:r>
          </w:p>
        </w:tc>
        <w:tc>
          <w:tcPr>
            <w:tcW w:w="3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营销传播活动建议方案具有创意构思，符合项目销售形象，可执行性高 7-10 分</w:t>
            </w:r>
          </w:p>
          <w:p>
            <w:pPr>
              <w:widowControl/>
              <w:jc w:val="left"/>
              <w:rPr>
                <w:rFonts w:ascii="仿宋" w:hAnsi="仿宋" w:eastAsia="仿宋" w:cs="宋体"/>
                <w:kern w:val="0"/>
                <w:szCs w:val="21"/>
              </w:rPr>
            </w:pPr>
            <w:r>
              <w:rPr>
                <w:rFonts w:hint="eastAsia" w:ascii="仿宋" w:hAnsi="仿宋" w:eastAsia="仿宋" w:cs="宋体"/>
                <w:kern w:val="0"/>
                <w:szCs w:val="21"/>
              </w:rPr>
              <w:t>营销传播活动建议方案较有创意构思，较符合项目销售形象，可执行性较高  4-6 分</w:t>
            </w:r>
          </w:p>
          <w:p>
            <w:pPr>
              <w:widowControl/>
              <w:jc w:val="left"/>
              <w:rPr>
                <w:rFonts w:ascii="仿宋" w:hAnsi="仿宋" w:eastAsia="仿宋" w:cs="宋体"/>
                <w:kern w:val="0"/>
                <w:szCs w:val="21"/>
              </w:rPr>
            </w:pPr>
            <w:r>
              <w:rPr>
                <w:rFonts w:hint="eastAsia" w:ascii="仿宋" w:hAnsi="仿宋" w:eastAsia="仿宋" w:cs="宋体"/>
                <w:kern w:val="0"/>
                <w:szCs w:val="21"/>
              </w:rPr>
              <w:t>方案创意性一般，可执行性不高 0-3 分</w:t>
            </w:r>
          </w:p>
        </w:tc>
        <w:tc>
          <w:tcPr>
            <w:tcW w:w="555"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685" w:hRule="atLeast"/>
        </w:trPr>
        <w:tc>
          <w:tcPr>
            <w:tcW w:w="370"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353"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现场述标</w:t>
            </w:r>
          </w:p>
        </w:tc>
        <w:tc>
          <w:tcPr>
            <w:tcW w:w="335" w:type="pct"/>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根据合作方现场述标情况进行评审，述标内容应包括包括但不限于以下内容：合作项目方案实施的时间计划和重要节点的时间安排、项目理解（包含对项目定位、项目功能组合规划等内容）、管理团队的配置，对述标内容进行横向比较。</w:t>
            </w:r>
          </w:p>
          <w:p>
            <w:pPr>
              <w:widowControl/>
              <w:jc w:val="left"/>
              <w:rPr>
                <w:rFonts w:ascii="仿宋" w:hAnsi="仿宋" w:eastAsia="仿宋" w:cs="宋体"/>
                <w:kern w:val="0"/>
                <w:szCs w:val="21"/>
              </w:rPr>
            </w:pPr>
            <w:r>
              <w:rPr>
                <w:rFonts w:hint="eastAsia" w:ascii="仿宋" w:hAnsi="仿宋" w:eastAsia="仿宋" w:cs="宋体"/>
                <w:kern w:val="0"/>
                <w:szCs w:val="21"/>
              </w:rPr>
              <w:t>分等级评分：优得1</w:t>
            </w:r>
            <w:r>
              <w:rPr>
                <w:rFonts w:hint="eastAsia" w:ascii="仿宋" w:hAnsi="仿宋" w:eastAsia="仿宋" w:cs="宋体"/>
                <w:kern w:val="0"/>
                <w:szCs w:val="21"/>
                <w:lang w:val="en-US" w:eastAsia="zh-CN"/>
              </w:rPr>
              <w:t>0</w:t>
            </w:r>
            <w:r>
              <w:rPr>
                <w:rFonts w:hint="eastAsia" w:ascii="仿宋" w:hAnsi="仿宋" w:eastAsia="仿宋" w:cs="宋体"/>
                <w:kern w:val="0"/>
                <w:szCs w:val="21"/>
              </w:rPr>
              <w:t>分；良得</w:t>
            </w:r>
            <w:r>
              <w:rPr>
                <w:rFonts w:hint="eastAsia" w:ascii="仿宋" w:hAnsi="仿宋" w:eastAsia="仿宋" w:cs="宋体"/>
                <w:kern w:val="0"/>
                <w:szCs w:val="21"/>
                <w:lang w:val="en-US" w:eastAsia="zh-CN"/>
              </w:rPr>
              <w:t>5</w:t>
            </w:r>
            <w:r>
              <w:rPr>
                <w:rFonts w:hint="eastAsia" w:ascii="仿宋" w:hAnsi="仿宋" w:eastAsia="仿宋" w:cs="宋体"/>
                <w:kern w:val="0"/>
                <w:szCs w:val="21"/>
              </w:rPr>
              <w:t>分；一般得</w:t>
            </w:r>
            <w:r>
              <w:rPr>
                <w:rFonts w:hint="eastAsia" w:ascii="仿宋" w:hAnsi="仿宋" w:eastAsia="仿宋" w:cs="宋体"/>
                <w:kern w:val="0"/>
                <w:szCs w:val="21"/>
                <w:lang w:val="en-US" w:eastAsia="zh-CN"/>
              </w:rPr>
              <w:t>3</w:t>
            </w:r>
            <w:r>
              <w:rPr>
                <w:rFonts w:hint="eastAsia" w:ascii="仿宋" w:hAnsi="仿宋" w:eastAsia="仿宋" w:cs="宋体"/>
                <w:kern w:val="0"/>
                <w:szCs w:val="21"/>
              </w:rPr>
              <w:t>分；差得1分，无现场述标不得分。</w:t>
            </w:r>
          </w:p>
        </w:tc>
        <w:tc>
          <w:tcPr>
            <w:tcW w:w="555"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685" w:hRule="atLeast"/>
        </w:trPr>
        <w:tc>
          <w:tcPr>
            <w:tcW w:w="370"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53"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rPr>
              <w:t>团队配置</w:t>
            </w:r>
          </w:p>
        </w:tc>
        <w:tc>
          <w:tcPr>
            <w:tcW w:w="33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val="en-US" w:eastAsia="zh-CN"/>
              </w:rPr>
              <w:t>5</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团队架构及配置优 </w:t>
            </w:r>
            <w:r>
              <w:rPr>
                <w:rFonts w:hint="eastAsia" w:ascii="仿宋" w:hAnsi="仿宋" w:eastAsia="仿宋" w:cs="宋体"/>
                <w:kern w:val="0"/>
                <w:szCs w:val="21"/>
                <w:lang w:val="en-US" w:eastAsia="zh-CN"/>
              </w:rPr>
              <w:t>4</w:t>
            </w:r>
            <w:r>
              <w:rPr>
                <w:rFonts w:hint="eastAsia" w:ascii="仿宋" w:hAnsi="仿宋" w:eastAsia="仿宋" w:cs="宋体"/>
                <w:kern w:val="0"/>
                <w:szCs w:val="21"/>
              </w:rPr>
              <w:t>-</w:t>
            </w:r>
            <w:r>
              <w:rPr>
                <w:rFonts w:hint="eastAsia" w:ascii="仿宋" w:hAnsi="仿宋" w:eastAsia="仿宋" w:cs="宋体"/>
                <w:kern w:val="0"/>
                <w:szCs w:val="21"/>
                <w:lang w:val="en-US" w:eastAsia="zh-CN"/>
              </w:rPr>
              <w:t>5</w:t>
            </w:r>
            <w:r>
              <w:rPr>
                <w:rFonts w:hint="eastAsia" w:ascii="仿宋" w:hAnsi="仿宋" w:eastAsia="仿宋" w:cs="宋体"/>
                <w:kern w:val="0"/>
                <w:szCs w:val="21"/>
              </w:rPr>
              <w:t>分</w:t>
            </w:r>
          </w:p>
          <w:p>
            <w:pPr>
              <w:widowControl/>
              <w:jc w:val="left"/>
              <w:rPr>
                <w:rFonts w:ascii="仿宋" w:hAnsi="仿宋" w:eastAsia="仿宋" w:cs="宋体"/>
                <w:kern w:val="0"/>
                <w:szCs w:val="21"/>
              </w:rPr>
            </w:pPr>
            <w:r>
              <w:rPr>
                <w:rFonts w:hint="eastAsia" w:ascii="仿宋" w:hAnsi="仿宋" w:eastAsia="仿宋" w:cs="宋体"/>
                <w:kern w:val="0"/>
                <w:szCs w:val="21"/>
              </w:rPr>
              <w:t xml:space="preserve">团队架构及配置较优 </w:t>
            </w:r>
            <w:r>
              <w:rPr>
                <w:rFonts w:hint="eastAsia" w:ascii="仿宋" w:hAnsi="仿宋" w:eastAsia="仿宋" w:cs="宋体"/>
                <w:kern w:val="0"/>
                <w:szCs w:val="21"/>
                <w:lang w:val="en-US" w:eastAsia="zh-CN"/>
              </w:rPr>
              <w:t>2</w:t>
            </w:r>
            <w:r>
              <w:rPr>
                <w:rFonts w:hint="eastAsia" w:ascii="仿宋" w:hAnsi="仿宋" w:eastAsia="仿宋" w:cs="宋体"/>
                <w:kern w:val="0"/>
                <w:szCs w:val="21"/>
              </w:rPr>
              <w:t>-</w:t>
            </w:r>
            <w:r>
              <w:rPr>
                <w:rFonts w:hint="eastAsia" w:ascii="仿宋" w:hAnsi="仿宋" w:eastAsia="仿宋" w:cs="宋体"/>
                <w:kern w:val="0"/>
                <w:szCs w:val="21"/>
                <w:lang w:val="en-US" w:eastAsia="zh-CN"/>
              </w:rPr>
              <w:t>3</w:t>
            </w:r>
            <w:r>
              <w:rPr>
                <w:rFonts w:hint="eastAsia" w:ascii="仿宋" w:hAnsi="仿宋" w:eastAsia="仿宋" w:cs="宋体"/>
                <w:kern w:val="0"/>
                <w:szCs w:val="21"/>
              </w:rPr>
              <w:t>分</w:t>
            </w:r>
          </w:p>
          <w:p>
            <w:pPr>
              <w:widowControl/>
              <w:jc w:val="left"/>
              <w:rPr>
                <w:rFonts w:hint="eastAsia" w:ascii="仿宋" w:hAnsi="仿宋" w:eastAsia="仿宋" w:cs="宋体"/>
                <w:kern w:val="0"/>
                <w:sz w:val="21"/>
                <w:szCs w:val="21"/>
                <w:lang w:val="en-US" w:eastAsia="zh-CN" w:bidi="ar-SA"/>
              </w:rPr>
            </w:pPr>
            <w:r>
              <w:rPr>
                <w:rFonts w:hint="eastAsia" w:ascii="仿宋" w:hAnsi="仿宋" w:eastAsia="仿宋" w:cs="宋体"/>
                <w:kern w:val="0"/>
                <w:szCs w:val="21"/>
              </w:rPr>
              <w:t>团队架构及配置一般 0-</w:t>
            </w:r>
            <w:r>
              <w:rPr>
                <w:rFonts w:hint="eastAsia" w:ascii="仿宋" w:hAnsi="仿宋" w:eastAsia="仿宋" w:cs="宋体"/>
                <w:kern w:val="0"/>
                <w:szCs w:val="21"/>
                <w:lang w:val="en-US" w:eastAsia="zh-CN"/>
              </w:rPr>
              <w:t>1</w:t>
            </w:r>
            <w:r>
              <w:rPr>
                <w:rFonts w:hint="eastAsia" w:ascii="仿宋" w:hAnsi="仿宋" w:eastAsia="仿宋" w:cs="宋体"/>
                <w:kern w:val="0"/>
                <w:szCs w:val="21"/>
              </w:rPr>
              <w:t>分</w:t>
            </w:r>
          </w:p>
        </w:tc>
        <w:tc>
          <w:tcPr>
            <w:tcW w:w="555"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565" w:hRule="atLeast"/>
        </w:trPr>
        <w:tc>
          <w:tcPr>
            <w:tcW w:w="14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3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c>
          <w:tcPr>
            <w:tcW w:w="270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keepNext/>
        <w:keepLines/>
        <w:spacing w:before="260" w:after="260" w:line="400" w:lineRule="exact"/>
        <w:jc w:val="both"/>
        <w:outlineLvl w:val="1"/>
        <w:rPr>
          <w:rFonts w:hint="eastAsia" w:ascii="仿宋_GB2312" w:hAnsi="宋体" w:eastAsia="仿宋_GB2312" w:cs="宋体"/>
          <w:b/>
          <w:bCs/>
          <w:sz w:val="30"/>
          <w:szCs w:val="30"/>
          <w:lang w:val="en-US" w:eastAsia="zh-CN"/>
        </w:rPr>
      </w:pPr>
      <w:r>
        <w:rPr>
          <w:rFonts w:hint="eastAsia" w:ascii="仿宋_GB2312" w:hAnsi="宋体" w:eastAsia="仿宋_GB2312" w:cs="宋体"/>
          <w:b/>
          <w:bCs/>
          <w:sz w:val="30"/>
          <w:szCs w:val="30"/>
          <w:lang w:val="en-US" w:eastAsia="zh-CN"/>
        </w:rPr>
        <w:t>备注：</w:t>
      </w:r>
      <w:r>
        <w:rPr>
          <w:rFonts w:hint="eastAsia" w:ascii="仿宋_GB2312" w:hAnsi="宋体" w:eastAsia="仿宋_GB2312" w:cs="宋体"/>
          <w:b w:val="0"/>
          <w:bCs w:val="0"/>
          <w:sz w:val="24"/>
          <w:szCs w:val="24"/>
          <w:lang w:val="en-US" w:eastAsia="zh-CN"/>
        </w:rPr>
        <w:t>按照评审程序、评分标准以及权重分配的规定，评审委员会各成员分别首先就各个合作方的商务技术情况及其对评审文件要求的响应情况进行评议和比较，评出其商务技术评分。然后，再对各合作方的经济报价进行评分。最后在现场达标中再对各合作方的服务方案进行评分。将各合作方的商务技术评分、经济评分和服务方案评分相加得出其综合得分。</w:t>
      </w:r>
    </w:p>
    <w:p>
      <w:pPr>
        <w:pStyle w:val="2"/>
        <w:rPr>
          <w:rFonts w:hint="eastAsia" w:ascii="宋体" w:hAnsi="宋体" w:cs="宋体"/>
          <w:b w:val="0"/>
          <w:bCs/>
          <w:sz w:val="22"/>
          <w:szCs w:val="22"/>
          <w:lang w:val="en-US" w:eastAsia="zh-CN"/>
        </w:rPr>
      </w:pPr>
    </w:p>
    <w:p>
      <w:pPr>
        <w:pStyle w:val="2"/>
        <w:rPr>
          <w:rFonts w:hint="eastAsia" w:ascii="宋体" w:hAnsi="宋体" w:cs="宋体"/>
          <w:b w:val="0"/>
          <w:bCs/>
          <w:sz w:val="22"/>
          <w:szCs w:val="22"/>
          <w:lang w:val="en-US" w:eastAsia="zh-CN"/>
        </w:rPr>
      </w:pPr>
    </w:p>
    <w:p>
      <w:pPr>
        <w:pStyle w:val="2"/>
        <w:rPr>
          <w:rFonts w:hint="eastAsia" w:ascii="宋体" w:hAnsi="宋体" w:cs="宋体"/>
          <w:b w:val="0"/>
          <w:bCs/>
          <w:sz w:val="22"/>
          <w:szCs w:val="22"/>
          <w:lang w:val="en-US" w:eastAsia="zh-CN"/>
        </w:rPr>
      </w:pPr>
    </w:p>
    <w:p>
      <w:pPr>
        <w:keepNext/>
        <w:keepLines/>
        <w:spacing w:before="260" w:after="260" w:line="400" w:lineRule="exact"/>
        <w:jc w:val="center"/>
        <w:outlineLvl w:val="1"/>
        <w:rPr>
          <w:rFonts w:ascii="宋体" w:hAnsi="宋体" w:cs="宋体"/>
          <w:b/>
          <w:sz w:val="32"/>
          <w:szCs w:val="32"/>
        </w:rPr>
      </w:pPr>
      <w:r>
        <w:rPr>
          <w:rFonts w:hint="eastAsia" w:ascii="宋体" w:hAnsi="宋体" w:cs="宋体"/>
          <w:b/>
          <w:sz w:val="32"/>
          <w:szCs w:val="32"/>
        </w:rPr>
        <w:t>综合评审汇总表</w:t>
      </w:r>
    </w:p>
    <w:tbl>
      <w:tblPr>
        <w:tblStyle w:val="13"/>
        <w:tblW w:w="10275"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393"/>
        <w:gridCol w:w="139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服务方案</w:t>
            </w:r>
            <w:r>
              <w:rPr>
                <w:rFonts w:hint="eastAsia" w:ascii="仿宋_GB2312" w:hAnsi="宋体" w:eastAsia="仿宋_GB2312" w:cs="宋体"/>
                <w:kern w:val="0"/>
                <w:szCs w:val="21"/>
              </w:rPr>
              <w:t>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72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bl>
    <w:p>
      <w:pPr>
        <w:rPr>
          <w:rFonts w:ascii="Calibri" w:hAnsi="Calibri"/>
        </w:rPr>
      </w:pPr>
    </w:p>
    <w:p>
      <w:pPr>
        <w:rPr>
          <w:rFonts w:ascii="Calibri" w:hAnsi="Calibri"/>
        </w:rPr>
      </w:pPr>
      <w:r>
        <w:rPr>
          <w:rFonts w:hint="eastAsia" w:ascii="Calibri" w:hAnsi="Calibri"/>
        </w:rPr>
        <w:t>评委签名：</w:t>
      </w:r>
    </w:p>
    <w:p>
      <w:pPr>
        <w:rPr>
          <w:rFonts w:ascii="仿宋" w:hAnsi="仿宋" w:eastAsia="仿宋"/>
          <w:b/>
          <w:sz w:val="32"/>
          <w:szCs w:val="32"/>
        </w:rPr>
      </w:pPr>
      <w:r>
        <w:rPr>
          <w:rFonts w:ascii="Calibri" w:hAnsi="Calibri"/>
          <w:sz w:val="36"/>
          <w:szCs w:val="36"/>
        </w:rPr>
        <w:br w:type="page"/>
      </w:r>
      <w:r>
        <w:rPr>
          <w:rFonts w:hint="eastAsia" w:ascii="仿宋" w:hAnsi="仿宋" w:eastAsia="仿宋"/>
          <w:b/>
          <w:sz w:val="32"/>
          <w:szCs w:val="32"/>
        </w:rPr>
        <w:t>四、采购合同/协议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288" w:lineRule="auto"/>
        <w:jc w:val="center"/>
        <w:rPr>
          <w:rFonts w:ascii="宋体" w:hAnsi="宋体" w:cs="宋体"/>
          <w:b/>
          <w:bCs/>
          <w:sz w:val="36"/>
          <w:szCs w:val="44"/>
        </w:rPr>
      </w:pPr>
      <w:r>
        <w:rPr>
          <w:rFonts w:hint="eastAsia" w:ascii="宋体" w:hAnsi="宋体" w:cs="宋体"/>
          <w:b/>
          <w:bCs/>
          <w:sz w:val="36"/>
          <w:szCs w:val="44"/>
        </w:rPr>
        <w:t>城投琶洲中心东塔</w:t>
      </w:r>
      <w:r>
        <w:rPr>
          <w:rFonts w:hint="eastAsia" w:ascii="宋体" w:hAnsi="宋体" w:cs="宋体"/>
          <w:b/>
          <w:bCs/>
          <w:sz w:val="36"/>
          <w:szCs w:val="44"/>
          <w:lang w:val="en-US" w:eastAsia="zh-CN"/>
        </w:rPr>
        <w:t>第二阶段</w:t>
      </w:r>
      <w:r>
        <w:rPr>
          <w:rFonts w:hint="eastAsia" w:ascii="宋体" w:hAnsi="宋体" w:cs="宋体"/>
          <w:b/>
          <w:bCs/>
          <w:sz w:val="36"/>
          <w:szCs w:val="44"/>
        </w:rPr>
        <w:t>广告全案合同</w:t>
      </w:r>
    </w:p>
    <w:p>
      <w:pPr>
        <w:spacing w:line="288" w:lineRule="auto"/>
        <w:rPr>
          <w:rFonts w:ascii="宋体" w:hAnsi="宋体" w:cs="宋体"/>
          <w:sz w:val="28"/>
          <w:szCs w:val="28"/>
        </w:rPr>
      </w:pPr>
    </w:p>
    <w:p>
      <w:pPr>
        <w:spacing w:line="288" w:lineRule="auto"/>
        <w:rPr>
          <w:rFonts w:ascii="宋体" w:hAnsi="宋体" w:cs="宋体"/>
          <w:sz w:val="28"/>
          <w:szCs w:val="28"/>
          <w:u w:val="single"/>
        </w:rPr>
      </w:pPr>
      <w:r>
        <w:rPr>
          <w:rFonts w:hint="eastAsia" w:ascii="宋体" w:hAnsi="宋体" w:cs="宋体"/>
          <w:sz w:val="28"/>
          <w:szCs w:val="28"/>
        </w:rPr>
        <w:t xml:space="preserve">甲方： </w:t>
      </w:r>
    </w:p>
    <w:p>
      <w:pPr>
        <w:spacing w:line="288" w:lineRule="auto"/>
        <w:rPr>
          <w:rFonts w:ascii="宋体" w:hAnsi="宋体" w:cs="宋体"/>
          <w:sz w:val="28"/>
          <w:szCs w:val="28"/>
        </w:rPr>
      </w:pPr>
      <w:r>
        <w:rPr>
          <w:rFonts w:hint="eastAsia" w:ascii="宋体" w:hAnsi="宋体" w:cs="宋体"/>
          <w:sz w:val="28"/>
          <w:szCs w:val="28"/>
        </w:rPr>
        <w:t>法定代表人：</w:t>
      </w:r>
    </w:p>
    <w:p>
      <w:pPr>
        <w:spacing w:line="288" w:lineRule="auto"/>
        <w:rPr>
          <w:rFonts w:ascii="宋体" w:hAnsi="宋体" w:cs="宋体"/>
          <w:sz w:val="28"/>
          <w:szCs w:val="28"/>
        </w:rPr>
      </w:pPr>
      <w:r>
        <w:rPr>
          <w:rFonts w:hint="eastAsia" w:ascii="宋体" w:hAnsi="宋体" w:cs="宋体"/>
          <w:sz w:val="28"/>
          <w:szCs w:val="28"/>
        </w:rPr>
        <w:t>地址：</w:t>
      </w:r>
    </w:p>
    <w:p>
      <w:pPr>
        <w:spacing w:line="288" w:lineRule="auto"/>
        <w:rPr>
          <w:rFonts w:ascii="宋体" w:hAnsi="宋体" w:cs="宋体"/>
          <w:sz w:val="28"/>
          <w:szCs w:val="28"/>
          <w:u w:val="single"/>
        </w:rPr>
      </w:pPr>
      <w:r>
        <w:rPr>
          <w:rFonts w:hint="eastAsia" w:ascii="宋体" w:hAnsi="宋体" w:cs="宋体"/>
          <w:sz w:val="28"/>
          <w:szCs w:val="28"/>
        </w:rPr>
        <w:t xml:space="preserve">乙方： </w:t>
      </w:r>
    </w:p>
    <w:p>
      <w:pPr>
        <w:spacing w:line="288" w:lineRule="auto"/>
        <w:rPr>
          <w:rFonts w:ascii="宋体" w:hAnsi="宋体" w:cs="宋体"/>
          <w:sz w:val="28"/>
          <w:szCs w:val="28"/>
        </w:rPr>
      </w:pPr>
      <w:r>
        <w:rPr>
          <w:rFonts w:hint="eastAsia" w:ascii="宋体" w:hAnsi="宋体" w:cs="宋体"/>
          <w:sz w:val="28"/>
          <w:szCs w:val="28"/>
        </w:rPr>
        <w:t>法定代表人：</w:t>
      </w:r>
    </w:p>
    <w:p>
      <w:pPr>
        <w:spacing w:line="288" w:lineRule="auto"/>
        <w:rPr>
          <w:rFonts w:ascii="宋体" w:hAnsi="宋体" w:cs="宋体"/>
          <w:sz w:val="28"/>
          <w:szCs w:val="28"/>
          <w:u w:val="single"/>
        </w:rPr>
      </w:pPr>
      <w:r>
        <w:rPr>
          <w:rFonts w:hint="eastAsia" w:ascii="宋体" w:hAnsi="宋体" w:cs="宋体"/>
          <w:sz w:val="28"/>
          <w:szCs w:val="28"/>
        </w:rPr>
        <w:t>地址：</w:t>
      </w:r>
    </w:p>
    <w:p>
      <w:pPr>
        <w:pStyle w:val="2"/>
      </w:pPr>
    </w:p>
    <w:p>
      <w:pPr>
        <w:pStyle w:val="7"/>
        <w:spacing w:line="288" w:lineRule="auto"/>
        <w:rPr>
          <w:rFonts w:cs="宋体"/>
          <w:sz w:val="21"/>
          <w:szCs w:val="21"/>
        </w:rPr>
      </w:pPr>
      <w:r>
        <w:rPr>
          <w:rFonts w:hint="eastAsia" w:cs="宋体"/>
          <w:sz w:val="21"/>
          <w:szCs w:val="21"/>
        </w:rPr>
        <w:t>甲、乙双方本着平等合作、互惠互利的原则，经友好协商，就甲方</w:t>
      </w:r>
      <w:r>
        <w:rPr>
          <w:rFonts w:hint="eastAsia" w:cs="宋体"/>
          <w:sz w:val="21"/>
          <w:szCs w:val="21"/>
          <w:u w:val="single"/>
        </w:rPr>
        <w:t xml:space="preserve"> 城投琶洲中心东塔 </w:t>
      </w:r>
      <w:r>
        <w:rPr>
          <w:rFonts w:hint="eastAsia" w:cs="宋体"/>
          <w:sz w:val="21"/>
          <w:szCs w:val="21"/>
        </w:rPr>
        <w:t>项目的传播策划代理事宜，一致达成如下协议：</w:t>
      </w:r>
    </w:p>
    <w:p>
      <w:pPr>
        <w:spacing w:line="288" w:lineRule="auto"/>
        <w:rPr>
          <w:rFonts w:ascii="宋体" w:hAnsi="宋体" w:cs="宋体"/>
        </w:rPr>
      </w:pPr>
    </w:p>
    <w:p>
      <w:pPr>
        <w:spacing w:line="360" w:lineRule="auto"/>
        <w:rPr>
          <w:rFonts w:ascii="宋体" w:hAnsi="宋体" w:cs="宋体"/>
        </w:rPr>
      </w:pPr>
      <w:r>
        <w:rPr>
          <w:rFonts w:hint="eastAsia" w:ascii="宋体" w:hAnsi="宋体" w:cs="宋体"/>
        </w:rPr>
        <w:t>一、合作范围</w:t>
      </w:r>
    </w:p>
    <w:p>
      <w:pPr>
        <w:spacing w:line="360" w:lineRule="auto"/>
        <w:ind w:firstLine="525" w:firstLineChars="250"/>
        <w:rPr>
          <w:rFonts w:ascii="宋体" w:hAnsi="宋体" w:cs="宋体"/>
          <w:snapToGrid w:val="0"/>
          <w:szCs w:val="21"/>
        </w:rPr>
      </w:pPr>
      <w:r>
        <w:rPr>
          <w:rFonts w:hint="eastAsia" w:ascii="宋体" w:hAnsi="宋体" w:cs="宋体"/>
          <w:szCs w:val="21"/>
        </w:rPr>
        <w:t>甲方委托乙方作为</w:t>
      </w:r>
      <w:r>
        <w:rPr>
          <w:rFonts w:hint="eastAsia" w:ascii="宋体" w:hAnsi="宋体" w:cs="宋体"/>
          <w:szCs w:val="21"/>
          <w:u w:val="single"/>
        </w:rPr>
        <w:t xml:space="preserve">  广州  </w:t>
      </w:r>
      <w:r>
        <w:rPr>
          <w:rFonts w:hint="eastAsia" w:ascii="宋体" w:hAnsi="宋体" w:cs="宋体"/>
          <w:szCs w:val="21"/>
        </w:rPr>
        <w:t>市</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城投琶洲中心东塔 </w:t>
      </w:r>
      <w:r>
        <w:rPr>
          <w:rFonts w:hint="eastAsia" w:ascii="宋体" w:hAnsi="宋体" w:cs="宋体"/>
          <w:szCs w:val="21"/>
        </w:rPr>
        <w:t>”项</w:t>
      </w:r>
      <w:r>
        <w:rPr>
          <w:rFonts w:hint="eastAsia" w:ascii="宋体" w:hAnsi="宋体" w:cs="宋体"/>
          <w:snapToGrid w:val="0"/>
          <w:szCs w:val="21"/>
        </w:rPr>
        <w:t>目的广告传播策划全案服务公司。</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二、合作期限</w:t>
      </w:r>
    </w:p>
    <w:p>
      <w:pPr>
        <w:pStyle w:val="7"/>
        <w:tabs>
          <w:tab w:val="left" w:pos="8760"/>
        </w:tabs>
        <w:spacing w:line="360" w:lineRule="auto"/>
        <w:rPr>
          <w:rFonts w:cs="宋体"/>
          <w:sz w:val="21"/>
          <w:szCs w:val="21"/>
        </w:rPr>
      </w:pPr>
      <w:r>
        <w:rPr>
          <w:rFonts w:hint="eastAsia" w:cs="宋体"/>
          <w:sz w:val="21"/>
          <w:szCs w:val="21"/>
        </w:rPr>
        <w:t>委托期为自</w:t>
      </w:r>
      <w:r>
        <w:rPr>
          <w:rFonts w:hint="eastAsia" w:cs="宋体"/>
          <w:color w:val="000000"/>
          <w:sz w:val="21"/>
          <w:szCs w:val="21"/>
          <w:u w:val="single"/>
        </w:rPr>
        <w:t xml:space="preserve"> 202</w:t>
      </w:r>
      <w:r>
        <w:rPr>
          <w:rFonts w:hint="eastAsia" w:cs="宋体"/>
          <w:color w:val="000000"/>
          <w:sz w:val="21"/>
          <w:szCs w:val="21"/>
          <w:u w:val="single"/>
          <w:lang w:val="en-US" w:eastAsia="zh-CN"/>
        </w:rPr>
        <w:t>4</w:t>
      </w:r>
      <w:r>
        <w:rPr>
          <w:rFonts w:hint="eastAsia" w:cs="宋体"/>
          <w:color w:val="000000"/>
          <w:sz w:val="21"/>
          <w:szCs w:val="21"/>
          <w:u w:val="single"/>
        </w:rPr>
        <w:t xml:space="preserve"> </w:t>
      </w:r>
      <w:r>
        <w:rPr>
          <w:rFonts w:hint="eastAsia" w:cs="宋体"/>
          <w:color w:val="000000"/>
          <w:sz w:val="21"/>
          <w:szCs w:val="21"/>
        </w:rPr>
        <w:t>年</w:t>
      </w:r>
      <w:r>
        <w:rPr>
          <w:rFonts w:hint="eastAsia" w:cs="宋体"/>
          <w:color w:val="000000"/>
          <w:sz w:val="21"/>
          <w:szCs w:val="21"/>
          <w:u w:val="single"/>
        </w:rPr>
        <w:t xml:space="preserve">  </w:t>
      </w: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rPr>
        <w:t>日至</w:t>
      </w:r>
      <w:r>
        <w:rPr>
          <w:rFonts w:hint="eastAsia" w:cs="宋体"/>
          <w:color w:val="000000"/>
          <w:sz w:val="21"/>
          <w:szCs w:val="21"/>
          <w:u w:val="single"/>
        </w:rPr>
        <w:t xml:space="preserve">  </w:t>
      </w:r>
      <w:r>
        <w:rPr>
          <w:rFonts w:hint="eastAsia" w:cs="宋体"/>
          <w:color w:val="000000"/>
          <w:sz w:val="21"/>
          <w:szCs w:val="21"/>
        </w:rPr>
        <w:t>年</w:t>
      </w:r>
      <w:r>
        <w:rPr>
          <w:rFonts w:hint="eastAsia" w:cs="宋体"/>
          <w:color w:val="000000"/>
          <w:sz w:val="21"/>
          <w:szCs w:val="21"/>
          <w:u w:val="single"/>
        </w:rPr>
        <w:t xml:space="preserve">  </w:t>
      </w: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rPr>
        <w:t>日止</w:t>
      </w:r>
      <w:r>
        <w:rPr>
          <w:rFonts w:hint="eastAsia" w:cs="宋体"/>
          <w:sz w:val="21"/>
          <w:szCs w:val="21"/>
        </w:rPr>
        <w:t>。合作期限届满前壹个月，经双方协商同意，可续签合同。</w:t>
      </w:r>
    </w:p>
    <w:p>
      <w:pPr>
        <w:spacing w:line="288" w:lineRule="auto"/>
        <w:rPr>
          <w:rFonts w:ascii="宋体" w:hAnsi="宋体" w:cs="宋体"/>
        </w:rPr>
      </w:pPr>
    </w:p>
    <w:p>
      <w:pPr>
        <w:spacing w:line="288" w:lineRule="auto"/>
        <w:rPr>
          <w:rFonts w:ascii="宋体" w:hAnsi="宋体" w:cs="宋体"/>
        </w:rPr>
      </w:pPr>
      <w:r>
        <w:rPr>
          <w:rFonts w:hint="eastAsia" w:ascii="宋体" w:hAnsi="宋体" w:cs="宋体"/>
        </w:rPr>
        <w:t>三、委托工作内容</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第一部分   广告策划部分</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1、广告定位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1.1 </w:t>
      </w:r>
      <w:r>
        <w:rPr>
          <w:rFonts w:hint="eastAsia" w:ascii="宋体" w:hAnsi="宋体" w:cs="宋体"/>
          <w:kern w:val="0"/>
          <w:lang w:val="en-GB"/>
        </w:rPr>
        <w:t>市场定位：物业市场定位，消费群体定位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1.2 </w:t>
      </w:r>
      <w:r>
        <w:rPr>
          <w:rFonts w:hint="eastAsia" w:ascii="宋体" w:hAnsi="宋体" w:cs="宋体"/>
          <w:kern w:val="0"/>
          <w:lang w:val="en-GB"/>
        </w:rPr>
        <w:t>功能定位：项目功能定位，自身功能定位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1.3 </w:t>
      </w:r>
      <w:r>
        <w:rPr>
          <w:rFonts w:hint="eastAsia" w:ascii="宋体" w:hAnsi="宋体" w:cs="宋体"/>
          <w:kern w:val="0"/>
          <w:lang w:val="en-GB"/>
        </w:rPr>
        <w:t>形象定位：项目形象定位，目标客户群形象定位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2、广告策略及创意构想</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3、传播与媒介策略的制定</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3.1 </w:t>
      </w:r>
      <w:r>
        <w:rPr>
          <w:rFonts w:hint="eastAsia" w:ascii="宋体" w:hAnsi="宋体" w:cs="宋体"/>
          <w:kern w:val="0"/>
          <w:lang w:val="en-GB"/>
        </w:rPr>
        <w:t>传播策略遵循的原则</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3.2 </w:t>
      </w:r>
      <w:r>
        <w:rPr>
          <w:rFonts w:hint="eastAsia" w:ascii="宋体" w:hAnsi="宋体" w:cs="宋体"/>
          <w:kern w:val="0"/>
          <w:lang w:val="en-GB"/>
        </w:rPr>
        <w:t>传播与媒介覆盖率目标</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3.3 </w:t>
      </w:r>
      <w:r>
        <w:rPr>
          <w:rFonts w:hint="eastAsia" w:ascii="宋体" w:hAnsi="宋体" w:cs="宋体"/>
          <w:kern w:val="0"/>
          <w:lang w:val="en-GB"/>
        </w:rPr>
        <w:t>分阶段传播策略的制定</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3.4 </w:t>
      </w:r>
      <w:r>
        <w:rPr>
          <w:rFonts w:hint="eastAsia" w:ascii="宋体" w:hAnsi="宋体" w:cs="宋体"/>
          <w:kern w:val="0"/>
          <w:lang w:val="en-GB"/>
        </w:rPr>
        <w:t>媒介宣传计划的制定、实施及调整</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3.5 </w:t>
      </w:r>
      <w:r>
        <w:rPr>
          <w:rFonts w:hint="eastAsia" w:ascii="宋体" w:hAnsi="宋体" w:cs="宋体"/>
          <w:kern w:val="0"/>
          <w:lang w:val="en-GB"/>
        </w:rPr>
        <w:t>公共关系策略制定</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3.6 </w:t>
      </w:r>
      <w:r>
        <w:rPr>
          <w:rFonts w:hint="eastAsia" w:ascii="宋体" w:hAnsi="宋体" w:cs="宋体"/>
          <w:kern w:val="0"/>
          <w:lang w:val="en-GB"/>
        </w:rPr>
        <w:t>现场包装策略</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4、营销活动策略及工具选择</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5、项目全程跟进服务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5.1 </w:t>
      </w:r>
      <w:r>
        <w:rPr>
          <w:rFonts w:hint="eastAsia" w:ascii="宋体" w:hAnsi="宋体" w:cs="宋体"/>
          <w:kern w:val="0"/>
          <w:lang w:val="en-GB"/>
        </w:rPr>
        <w:t>实行专案小组制。</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5.2 </w:t>
      </w:r>
      <w:r>
        <w:rPr>
          <w:rFonts w:hint="eastAsia" w:ascii="宋体" w:hAnsi="宋体" w:cs="宋体"/>
          <w:kern w:val="0"/>
          <w:lang w:val="en-GB"/>
        </w:rPr>
        <w:t>乙方每月提供广告工作总结分析并根据甲方意见及时调整宣传推广及媒体策略。提供相关竞争项目推广资料的收集调查与分析，市场热销楼盘形象包装、广告策略手段探讨等。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5.3 </w:t>
      </w:r>
      <w:r>
        <w:rPr>
          <w:rFonts w:hint="eastAsia" w:ascii="宋体" w:hAnsi="宋体" w:cs="宋体"/>
          <w:kern w:val="0"/>
          <w:lang w:val="en-GB"/>
        </w:rPr>
        <w:t>协助甲方进行广告成本预算及费用监控。</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6、提供对公司大品牌提升的必要咨询与顾问服务。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第二部分   销售现场包装清单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1、地盘形象设计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1.1 </w:t>
      </w:r>
      <w:r>
        <w:rPr>
          <w:rFonts w:hint="eastAsia" w:ascii="宋体" w:hAnsi="宋体" w:cs="宋体"/>
          <w:kern w:val="0"/>
          <w:lang w:val="en-GB"/>
        </w:rPr>
        <w:t>工地围墙/安全通道围板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1.2 </w:t>
      </w:r>
      <w:r>
        <w:rPr>
          <w:rFonts w:hint="eastAsia" w:ascii="宋体" w:hAnsi="宋体" w:cs="宋体"/>
          <w:kern w:val="0"/>
          <w:lang w:val="en-GB"/>
        </w:rPr>
        <w:t>工地广告牌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1.3 </w:t>
      </w:r>
      <w:r>
        <w:rPr>
          <w:rFonts w:hint="eastAsia" w:ascii="宋体" w:hAnsi="宋体" w:cs="宋体"/>
          <w:kern w:val="0"/>
          <w:lang w:val="en-GB"/>
        </w:rPr>
        <w:t>现场包装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·导示系统</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·导示牌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·立柱挂旗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·条幅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·招示布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·停车场标牌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2、售楼处形象展示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 </w:t>
      </w:r>
      <w:r>
        <w:rPr>
          <w:rFonts w:hint="eastAsia" w:ascii="宋体" w:hAnsi="宋体" w:cs="宋体"/>
          <w:kern w:val="0"/>
          <w:lang w:val="en-GB"/>
        </w:rPr>
        <w:t>功能指示牌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2.2 </w:t>
      </w:r>
      <w:r>
        <w:rPr>
          <w:rFonts w:hint="eastAsia" w:ascii="宋体" w:hAnsi="宋体" w:cs="宋体"/>
          <w:kern w:val="0"/>
          <w:lang w:val="en-GB"/>
        </w:rPr>
        <w:t>销售中心形象背景板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2.3 </w:t>
      </w:r>
      <w:r>
        <w:rPr>
          <w:rFonts w:hint="eastAsia" w:ascii="宋体" w:hAnsi="宋体" w:cs="宋体"/>
          <w:kern w:val="0"/>
          <w:lang w:val="en-GB"/>
        </w:rPr>
        <w:t>售楼处展板设计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2.4 </w:t>
      </w:r>
      <w:r>
        <w:rPr>
          <w:rFonts w:hint="eastAsia" w:ascii="宋体" w:hAnsi="宋体" w:cs="宋体"/>
          <w:kern w:val="0"/>
          <w:lang w:val="en-GB"/>
        </w:rPr>
        <w:t>区位标示牌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2.5 </w:t>
      </w:r>
      <w:r>
        <w:rPr>
          <w:rFonts w:hint="eastAsia" w:ascii="宋体" w:hAnsi="宋体" w:cs="宋体"/>
          <w:kern w:val="0"/>
          <w:lang w:val="en-GB"/>
        </w:rPr>
        <w:t>看楼路线指引牌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2.6 </w:t>
      </w:r>
      <w:r>
        <w:rPr>
          <w:rFonts w:hint="eastAsia" w:ascii="宋体" w:hAnsi="宋体" w:cs="宋体"/>
          <w:kern w:val="0"/>
          <w:lang w:val="en-GB"/>
        </w:rPr>
        <w:t>接待区域形象部分</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2.7 </w:t>
      </w:r>
      <w:r>
        <w:rPr>
          <w:rFonts w:hint="eastAsia" w:ascii="宋体" w:hAnsi="宋体" w:cs="宋体"/>
          <w:kern w:val="0"/>
          <w:lang w:val="en-GB"/>
        </w:rPr>
        <w:t>销售活动宣传资料及展板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2.8 </w:t>
      </w:r>
      <w:r>
        <w:rPr>
          <w:rFonts w:hint="eastAsia" w:ascii="宋体" w:hAnsi="宋体" w:cs="宋体"/>
          <w:kern w:val="0"/>
          <w:lang w:val="en-GB"/>
        </w:rPr>
        <w:t>外观形象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2.9 </w:t>
      </w:r>
      <w:r>
        <w:rPr>
          <w:rFonts w:hint="eastAsia" w:ascii="宋体" w:hAnsi="宋体" w:cs="宋体"/>
          <w:kern w:val="0"/>
          <w:lang w:val="en-GB"/>
        </w:rPr>
        <w:t>大型喷绘吊旗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2.10 </w:t>
      </w:r>
      <w:r>
        <w:rPr>
          <w:rFonts w:hint="eastAsia" w:ascii="宋体" w:hAnsi="宋体" w:cs="宋体"/>
          <w:kern w:val="0"/>
          <w:lang w:val="en-GB"/>
        </w:rPr>
        <w:t>条型悬挂式吊旗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2.11 </w:t>
      </w:r>
      <w:r>
        <w:rPr>
          <w:rFonts w:hint="eastAsia" w:ascii="宋体" w:hAnsi="宋体" w:cs="宋体"/>
          <w:kern w:val="0"/>
          <w:lang w:val="en-GB"/>
        </w:rPr>
        <w:t>台面标牌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2.12 </w:t>
      </w:r>
      <w:r>
        <w:rPr>
          <w:rFonts w:hint="eastAsia" w:ascii="宋体" w:hAnsi="宋体" w:cs="宋体"/>
          <w:kern w:val="0"/>
          <w:lang w:val="en-GB"/>
        </w:rPr>
        <w:t>售楼处内部形象概念提示及指导</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2.13 </w:t>
      </w:r>
      <w:r>
        <w:rPr>
          <w:rFonts w:hint="eastAsia" w:ascii="宋体" w:hAnsi="宋体" w:cs="宋体"/>
          <w:kern w:val="0"/>
          <w:lang w:val="en-GB"/>
        </w:rPr>
        <w:t>接待台</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2.14 </w:t>
      </w:r>
      <w:r>
        <w:rPr>
          <w:rFonts w:hint="eastAsia" w:ascii="宋体" w:hAnsi="宋体" w:cs="宋体"/>
          <w:kern w:val="0"/>
          <w:lang w:val="en-GB"/>
        </w:rPr>
        <w:t>售楼处POP设计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3、导示系统</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3.1 </w:t>
      </w:r>
      <w:r>
        <w:rPr>
          <w:rFonts w:hint="eastAsia" w:ascii="宋体" w:hAnsi="宋体" w:cs="宋体"/>
          <w:kern w:val="0"/>
          <w:lang w:val="en-GB"/>
        </w:rPr>
        <w:t>样板间户型牌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3.2 </w:t>
      </w:r>
      <w:r>
        <w:rPr>
          <w:rFonts w:hint="eastAsia" w:ascii="宋体" w:hAnsi="宋体" w:cs="宋体"/>
          <w:kern w:val="0"/>
          <w:lang w:val="en-GB"/>
        </w:rPr>
        <w:t>样板间功能牌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·主人房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·儿童房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·父母房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·客户</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·书房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·健身房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·洗手间</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3.3 </w:t>
      </w:r>
      <w:r>
        <w:rPr>
          <w:rFonts w:hint="eastAsia" w:ascii="宋体" w:hAnsi="宋体" w:cs="宋体"/>
          <w:kern w:val="0"/>
          <w:lang w:val="en-GB"/>
        </w:rPr>
        <w:t>免费赠送牌: ·洁具·橱具等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3.4 </w:t>
      </w:r>
      <w:r>
        <w:rPr>
          <w:rFonts w:hint="eastAsia" w:ascii="宋体" w:hAnsi="宋体" w:cs="宋体"/>
          <w:kern w:val="0"/>
          <w:lang w:val="en-GB"/>
        </w:rPr>
        <w:t>样板房导示牌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3.5 </w:t>
      </w:r>
      <w:r>
        <w:rPr>
          <w:rFonts w:hint="eastAsia" w:ascii="宋体" w:hAnsi="宋体" w:cs="宋体"/>
          <w:kern w:val="0"/>
          <w:lang w:val="en-GB"/>
        </w:rPr>
        <w:t>看楼通路氛围布置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3.6 </w:t>
      </w:r>
      <w:r>
        <w:rPr>
          <w:rFonts w:hint="eastAsia" w:ascii="宋体" w:hAnsi="宋体" w:cs="宋体"/>
          <w:kern w:val="0"/>
          <w:lang w:val="en-GB"/>
        </w:rPr>
        <w:t>设计要领介绍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4、商业展会、各种新闻发布会展（会）场包装设计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4.1 </w:t>
      </w:r>
      <w:r>
        <w:rPr>
          <w:rFonts w:hint="eastAsia" w:ascii="宋体" w:hAnsi="宋体" w:cs="宋体"/>
          <w:kern w:val="0"/>
          <w:lang w:val="en-GB"/>
        </w:rPr>
        <w:t>展位氛围展示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4.2 </w:t>
      </w:r>
      <w:r>
        <w:rPr>
          <w:rFonts w:hint="eastAsia" w:ascii="宋体" w:hAnsi="宋体" w:cs="宋体"/>
          <w:kern w:val="0"/>
          <w:lang w:val="en-GB"/>
        </w:rPr>
        <w:t>招示布置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4.3 </w:t>
      </w:r>
      <w:r>
        <w:rPr>
          <w:rFonts w:hint="eastAsia" w:ascii="宋体" w:hAnsi="宋体" w:cs="宋体"/>
          <w:kern w:val="0"/>
          <w:lang w:val="en-GB"/>
        </w:rPr>
        <w:t>活动相关印刷品建议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4.4 </w:t>
      </w:r>
      <w:r>
        <w:rPr>
          <w:rFonts w:hint="eastAsia" w:ascii="宋体" w:hAnsi="宋体" w:cs="宋体"/>
          <w:kern w:val="0"/>
          <w:lang w:val="en-GB"/>
        </w:rPr>
        <w:t>相关礼品建议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4.5 </w:t>
      </w:r>
      <w:r>
        <w:rPr>
          <w:rFonts w:hint="eastAsia" w:ascii="宋体" w:hAnsi="宋体" w:cs="宋体"/>
          <w:kern w:val="0"/>
          <w:lang w:val="en-GB"/>
        </w:rPr>
        <w:t>条幅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5、外卖场展示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5.1 </w:t>
      </w:r>
      <w:r>
        <w:rPr>
          <w:rFonts w:hint="eastAsia" w:ascii="宋体" w:hAnsi="宋体" w:cs="宋体"/>
          <w:kern w:val="0"/>
          <w:lang w:val="en-GB"/>
        </w:rPr>
        <w:t>展销会氛围展示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5.2 </w:t>
      </w:r>
      <w:r>
        <w:rPr>
          <w:rFonts w:hint="eastAsia" w:ascii="宋体" w:hAnsi="宋体" w:cs="宋体"/>
          <w:kern w:val="0"/>
          <w:lang w:val="en-GB"/>
        </w:rPr>
        <w:t>活动相关印刷品设计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5.3 </w:t>
      </w:r>
      <w:r>
        <w:rPr>
          <w:rFonts w:hint="eastAsia" w:ascii="宋体" w:hAnsi="宋体" w:cs="宋体"/>
          <w:kern w:val="0"/>
          <w:lang w:val="en-GB"/>
        </w:rPr>
        <w:t>相关礼品建议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5.4 </w:t>
      </w:r>
      <w:r>
        <w:rPr>
          <w:rFonts w:hint="eastAsia" w:ascii="宋体" w:hAnsi="宋体" w:cs="宋体"/>
          <w:kern w:val="0"/>
          <w:lang w:val="en-GB"/>
        </w:rPr>
        <w:t>看楼专车车体设计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5.5 </w:t>
      </w:r>
      <w:r>
        <w:rPr>
          <w:rFonts w:hint="eastAsia" w:ascii="宋体" w:hAnsi="宋体" w:cs="宋体"/>
          <w:kern w:val="0"/>
          <w:lang w:val="en-GB"/>
        </w:rPr>
        <w:t>太阳伞</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5.6 </w:t>
      </w:r>
      <w:r>
        <w:rPr>
          <w:rFonts w:hint="eastAsia" w:ascii="宋体" w:hAnsi="宋体" w:cs="宋体"/>
          <w:kern w:val="0"/>
          <w:lang w:val="en-GB"/>
        </w:rPr>
        <w:t>活动人员服装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5.7 </w:t>
      </w:r>
      <w:r>
        <w:rPr>
          <w:rFonts w:hint="eastAsia" w:ascii="宋体" w:hAnsi="宋体" w:cs="宋体"/>
          <w:kern w:val="0"/>
          <w:lang w:val="en-GB"/>
        </w:rPr>
        <w:t>大气球竖幅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5.8 </w:t>
      </w:r>
      <w:r>
        <w:rPr>
          <w:rFonts w:hint="eastAsia" w:ascii="宋体" w:hAnsi="宋体" w:cs="宋体"/>
          <w:kern w:val="0"/>
          <w:lang w:val="en-GB"/>
        </w:rPr>
        <w:t>招示布置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5.9 </w:t>
      </w:r>
      <w:r>
        <w:rPr>
          <w:rFonts w:hint="eastAsia" w:ascii="宋体" w:hAnsi="宋体" w:cs="宋体"/>
          <w:kern w:val="0"/>
          <w:lang w:val="en-GB"/>
        </w:rPr>
        <w:t>条幅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6、促销礼品类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6.1 </w:t>
      </w:r>
      <w:r>
        <w:rPr>
          <w:rFonts w:hint="eastAsia" w:ascii="宋体" w:hAnsi="宋体" w:cs="宋体"/>
          <w:kern w:val="0"/>
          <w:lang w:val="en-GB"/>
        </w:rPr>
        <w:t>礼品外形或外包装形象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6.2 </w:t>
      </w:r>
      <w:r>
        <w:rPr>
          <w:rFonts w:hint="eastAsia" w:ascii="宋体" w:hAnsi="宋体" w:cs="宋体"/>
          <w:kern w:val="0"/>
          <w:lang w:val="en-GB"/>
        </w:rPr>
        <w:t>促销活动卡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6.3 </w:t>
      </w:r>
      <w:r>
        <w:rPr>
          <w:rFonts w:hint="eastAsia" w:ascii="宋体" w:hAnsi="宋体" w:cs="宋体"/>
          <w:kern w:val="0"/>
          <w:lang w:val="en-GB"/>
        </w:rPr>
        <w:t>请柬、邀请函</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第三部分   销售资料清单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1、楼书（或宣传手册）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2、单张、折页（保证不同促销期之更换）</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3、DM直邮（保证不同促销期之更换）</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4、海报</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5、请柬</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6、夹报</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7、邀请函</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8、项目招商手册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9、其他印刷品等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第四部分   户外广告系统设计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1、报纸广告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2、车体广告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3、候车亭广告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4、路牌广告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5、路灯旗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6、立柱式广告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7、灯箱广告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8、其他户外广告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第五部分    项目形象视觉识别系统VI清单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A、基础设计要素</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1、项目标志设计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2、项目标志释义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3、项目标志中文标准字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4、项目标志中文辅助字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5、项目标志英文标准字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6、项目标志英文辅助字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7、项目标志中英文标准字与标志组合规范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8、项目标志中文标准字与标志组合规范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9、项目标志英文标准字与标志组合规范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10、项目标志的不同色彩使用规范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11、项目标志在不同环境下的使用规范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12、项目标志的基本组合及应用规范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13、项目标志印刷字体规范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14、项目标志与中英文字体纵使规范（单色）（2项）</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15、项目标志的最小使用尺寸、最小预留空间、单色表现</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16、项目标志标准色、辅助色及辅助色系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17、标志方格制图法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18、标志明暗度使用规范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19、标志误用范例</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20、象征图形</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21、吉祥物</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22、色带</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B、应用设计要素</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1、名片（2项）</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2、信纸</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3、中式信封</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4、西式信封</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5、工作证（卡）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6、公文纸</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7、笔</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8、文件袋</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9、便笺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10、优惠卡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11、不干胶贴纸</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12、手提袋</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13、纸水杯</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14、胸卡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15、促销礼品形象规范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16、购房协议书封套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17、置业设计封套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18、社区标识设计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19、客户通讯</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20、传真纸首页</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21、销售人员工作牌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22、认购书</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23、置业计划表</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24、入伙指南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25、售楼专车</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第六部分    媒体广告清单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1、创意类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1.1 </w:t>
      </w:r>
      <w:r>
        <w:rPr>
          <w:rFonts w:hint="eastAsia" w:ascii="宋体" w:hAnsi="宋体" w:cs="宋体"/>
          <w:kern w:val="0"/>
          <w:lang w:val="en-GB"/>
        </w:rPr>
        <w:t>网络平面广告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1.2 </w:t>
      </w:r>
      <w:r>
        <w:rPr>
          <w:rFonts w:hint="eastAsia" w:ascii="宋体" w:hAnsi="宋体" w:cs="宋体"/>
          <w:kern w:val="0"/>
          <w:lang w:val="en-GB"/>
        </w:rPr>
        <w:t>杂志广告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2、文字方向建议类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 </w:t>
      </w:r>
      <w:r>
        <w:rPr>
          <w:rFonts w:hint="eastAsia" w:ascii="宋体" w:hAnsi="宋体" w:cs="宋体"/>
          <w:kern w:val="0"/>
          <w:lang w:val="en-GB"/>
        </w:rPr>
        <w:t>电台广告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2.2 </w:t>
      </w:r>
      <w:r>
        <w:rPr>
          <w:rFonts w:hint="eastAsia" w:ascii="宋体" w:hAnsi="宋体" w:cs="宋体"/>
          <w:kern w:val="0"/>
          <w:lang w:val="en-GB"/>
        </w:rPr>
        <w:t>电视广告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2.3 </w:t>
      </w:r>
      <w:r>
        <w:rPr>
          <w:rFonts w:hint="eastAsia" w:ascii="宋体" w:hAnsi="宋体" w:cs="宋体"/>
          <w:kern w:val="0"/>
          <w:lang w:val="en-GB"/>
        </w:rPr>
        <w:t>电视专题片</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第七部分    现场活动</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1、配合项目推广及招商整体编排，提供主题活动建议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2、营销中心开放活动建议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3、样板房开放活动建议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4、项目开盘活动建议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5、圈层活动建议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6、业主嘉年华会活动建议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7、展会、各种新闻发布会展（会）场包装设计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8、专家论坛或各媒体专题讨论策划、协调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9、媒介软性广告策划、撰写</w:t>
      </w:r>
    </w:p>
    <w:p>
      <w:pPr>
        <w:spacing w:line="288" w:lineRule="auto"/>
        <w:ind w:firstLine="840" w:firstLineChars="400"/>
        <w:rPr>
          <w:rFonts w:ascii="宋体" w:hAnsi="宋体" w:cs="宋体"/>
          <w:color w:val="000000"/>
          <w:szCs w:val="21"/>
        </w:rPr>
      </w:pPr>
    </w:p>
    <w:p>
      <w:pPr>
        <w:spacing w:line="288" w:lineRule="auto"/>
        <w:rPr>
          <w:rFonts w:ascii="宋体" w:hAnsi="宋体" w:cs="宋体"/>
        </w:rPr>
      </w:pPr>
      <w:r>
        <w:rPr>
          <w:rFonts w:hint="eastAsia" w:ascii="宋体" w:hAnsi="宋体" w:cs="宋体"/>
        </w:rPr>
        <w:t>四、双方责任与权利</w:t>
      </w:r>
    </w:p>
    <w:p>
      <w:pPr>
        <w:spacing w:line="288" w:lineRule="auto"/>
        <w:ind w:left="480"/>
        <w:rPr>
          <w:rFonts w:ascii="宋体" w:hAnsi="宋体" w:cs="宋体"/>
          <w:szCs w:val="21"/>
        </w:rPr>
      </w:pPr>
      <w:r>
        <w:rPr>
          <w:rFonts w:hint="eastAsia" w:ascii="宋体" w:hAnsi="宋体" w:cs="宋体"/>
          <w:szCs w:val="21"/>
        </w:rPr>
        <w:t>1、甲方的责任和权利：</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为避免多头决策而导致工作质量、效率下降，甲方应成立项目组，并选定出项目负责人作为代表与乙方沟通，具体统筹设计方案的审定和各种方案的确定，同时协助双方款项的结算，该项目负责的签字及确认可以代表甲方。</w:t>
      </w:r>
    </w:p>
    <w:p>
      <w:pPr>
        <w:spacing w:line="288" w:lineRule="auto"/>
        <w:ind w:left="960"/>
        <w:rPr>
          <w:rFonts w:ascii="宋体" w:hAnsi="宋体" w:cs="宋体"/>
          <w:szCs w:val="21"/>
          <w:u w:val="single"/>
        </w:rPr>
      </w:pPr>
      <w:r>
        <w:rPr>
          <w:rFonts w:hint="eastAsia" w:ascii="宋体" w:hAnsi="宋体" w:cs="宋体"/>
          <w:szCs w:val="21"/>
        </w:rPr>
        <w:t>甲方项目负责人</w:t>
      </w:r>
      <w:r>
        <w:rPr>
          <w:rFonts w:hint="eastAsia" w:ascii="宋体" w:hAnsi="宋体" w:cs="宋体"/>
          <w:szCs w:val="21"/>
          <w:u w:val="single"/>
        </w:rPr>
        <w:t xml:space="preserve">           </w:t>
      </w:r>
    </w:p>
    <w:p>
      <w:pPr>
        <w:spacing w:line="288" w:lineRule="auto"/>
        <w:ind w:left="960"/>
        <w:rPr>
          <w:rFonts w:ascii="宋体" w:hAnsi="宋体" w:cs="宋体"/>
          <w:szCs w:val="21"/>
        </w:rPr>
      </w:pPr>
      <w:r>
        <w:rPr>
          <w:rFonts w:hint="eastAsia" w:ascii="宋体" w:hAnsi="宋体" w:cs="宋体"/>
          <w:szCs w:val="21"/>
        </w:rPr>
        <w:t xml:space="preserve">职务  </w:t>
      </w:r>
      <w:r>
        <w:rPr>
          <w:rFonts w:hint="eastAsia" w:ascii="宋体" w:hAnsi="宋体" w:cs="宋体"/>
          <w:szCs w:val="21"/>
          <w:u w:val="single"/>
        </w:rPr>
        <w:t xml:space="preserve">                   </w:t>
      </w:r>
    </w:p>
    <w:p>
      <w:pPr>
        <w:spacing w:line="288" w:lineRule="auto"/>
        <w:ind w:left="96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双方合作期间，甲方应积极配合乙方，及时提供乙方所需的各类图片和文字资料，并应对上述资料的合法性、真实性、准确性和完整性负责。</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甲方有权</w:t>
      </w:r>
      <w:r>
        <w:rPr>
          <w:rFonts w:hint="eastAsia" w:ascii="宋体" w:hAnsi="宋体" w:cs="宋体"/>
          <w:color w:val="000000"/>
          <w:szCs w:val="21"/>
        </w:rPr>
        <w:t>在乙方提交工作成果后七个工作日内</w:t>
      </w:r>
      <w:r>
        <w:rPr>
          <w:rFonts w:hint="eastAsia" w:ascii="宋体" w:hAnsi="宋体" w:cs="宋体"/>
          <w:szCs w:val="21"/>
        </w:rPr>
        <w:t>对乙方所提交的策划思路、广告方案、设计稿和其他书面工作文件以书面形式提出修改意见和建议，乙方据此与甲方共同商议，及时进行修改或调整，如甲方在上述期限内未提出修改意见和建议的，视为认可和接受乙方工作成果。</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所有设计版权在甲方付清服务费后属甲方所有，乙方应按双方约定的时间将所完成的作品以电子版本及稿件的形式由甲方审定，并将最终确定稿件打印稿刻成光盘递交甲方，乙方将电子版本发送到甲方指定邮箱视为已提交工作成果，最终确定稿件打印稿光盘提交给甲方人员或寄送到本合同显示甲方地址后视为已递交甲方。乙方保留将该作品仅用于自身宣传物料、行业评选的权利，乙方不得用于营利性商业用途或损害甲方利益,否则甲方有追偿索赔的权利。</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双方合作期间，甲方应及时向乙方提供必要的销售情况与营销计划，以便乙方及时寻找正确的宣传方案。</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在合作期间，甲方</w:t>
      </w:r>
      <w:r>
        <w:rPr>
          <w:rFonts w:hint="eastAsia" w:ascii="宋体" w:hAnsi="宋体" w:cs="宋体"/>
        </w:rPr>
        <w:t>有关的调整意见</w:t>
      </w:r>
      <w:r>
        <w:rPr>
          <w:rFonts w:hint="eastAsia" w:ascii="宋体" w:hAnsi="宋体" w:cs="宋体"/>
          <w:szCs w:val="21"/>
        </w:rPr>
        <w:t>需即时书面通知乙方，以配合项目的实际情况调整整体策划思路和广告方案等工作，并应给与乙方合理的调整工作时间（具体由乙方根据实际情况确定）。</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甲方提出各种正式建议与意见，乙方项目总监在合同期内必须按甲方要求带队参加甲乙方的双周工作例会，会后次日要提供会议纪要给甲方，由甲方确认，乙方提供后甲方五日内未提出异议的视为确认。乙方要根据甲方的要求参加甲方的重要营销会议，甲方应提前三天通知乙方会议时间。</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如甲乙双方提出的策略与创意和其他公司相同时，乙方有义务通知甲方，由甲方决定该策略和创意的最终执行。</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甲方确定外文翻译公司，所有文件翻译由该公司完成，该公司确保翻译文件的准确性，乙方只需负责提供中文文件。</w:t>
      </w:r>
    </w:p>
    <w:p>
      <w:pPr>
        <w:numPr>
          <w:ilvl w:val="4"/>
          <w:numId w:val="4"/>
        </w:numPr>
        <w:tabs>
          <w:tab w:val="left" w:pos="240"/>
          <w:tab w:val="clear" w:pos="2100"/>
        </w:tabs>
        <w:spacing w:line="288" w:lineRule="auto"/>
        <w:ind w:left="840" w:leftChars="200" w:hangingChars="200"/>
        <w:rPr>
          <w:rFonts w:ascii="宋体" w:hAnsi="宋体" w:cs="宋体"/>
          <w:szCs w:val="21"/>
        </w:rPr>
      </w:pPr>
      <w:r>
        <w:rPr>
          <w:rFonts w:hint="eastAsia" w:ascii="宋体" w:hAnsi="宋体" w:cs="宋体"/>
          <w:szCs w:val="21"/>
        </w:rPr>
        <w:t>合作期满，甲方可提前30天通知乙方不再续约，更换广告代理公司。</w:t>
      </w:r>
    </w:p>
    <w:p>
      <w:pPr>
        <w:spacing w:line="288" w:lineRule="auto"/>
        <w:ind w:left="600"/>
        <w:rPr>
          <w:rFonts w:ascii="宋体" w:hAnsi="宋体" w:cs="宋体"/>
          <w:szCs w:val="21"/>
        </w:rPr>
      </w:pPr>
    </w:p>
    <w:p>
      <w:pPr>
        <w:spacing w:line="288" w:lineRule="auto"/>
        <w:ind w:left="360"/>
        <w:rPr>
          <w:rFonts w:ascii="宋体" w:hAnsi="宋体" w:cs="宋体"/>
          <w:szCs w:val="21"/>
        </w:rPr>
      </w:pPr>
      <w:r>
        <w:rPr>
          <w:rFonts w:hint="eastAsia" w:ascii="宋体" w:hAnsi="宋体" w:cs="宋体"/>
          <w:szCs w:val="21"/>
        </w:rPr>
        <w:t>2、乙方的责任和权利</w:t>
      </w:r>
    </w:p>
    <w:p>
      <w:pPr>
        <w:tabs>
          <w:tab w:val="left" w:pos="960"/>
        </w:tabs>
        <w:spacing w:line="288" w:lineRule="auto"/>
        <w:ind w:left="960" w:hanging="36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乙方成立由总监负责的项目专案小组，并以书面形式列明各成员的职务、职责，以便双方合作期间的紧密联系。如果本专案组成员不能满足本项目广告推广的需要，甲方可以要求更换。</w:t>
      </w:r>
    </w:p>
    <w:p>
      <w:pPr>
        <w:tabs>
          <w:tab w:val="left" w:pos="960"/>
        </w:tabs>
        <w:spacing w:line="288" w:lineRule="auto"/>
        <w:ind w:left="960" w:hanging="360"/>
        <w:rPr>
          <w:rFonts w:ascii="宋体" w:hAnsi="宋体" w:cs="宋体"/>
        </w:rPr>
      </w:pPr>
      <w:r>
        <w:rPr>
          <w:rFonts w:hint="eastAsia" w:ascii="宋体" w:hAnsi="宋体" w:cs="宋体"/>
        </w:rPr>
        <w:t>2</w:t>
      </w:r>
      <w:r>
        <w:rPr>
          <w:rFonts w:ascii="宋体" w:hAnsi="宋体" w:cs="宋体"/>
        </w:rPr>
        <w:t>)</w:t>
      </w:r>
      <w:r>
        <w:rPr>
          <w:rFonts w:hint="eastAsia" w:ascii="宋体" w:hAnsi="宋体" w:cs="宋体"/>
          <w:szCs w:val="21"/>
        </w:rPr>
        <w:t>乙方应在甲方规定的时间，按时、按质、按量完成甲方委托的各项策划、设计、制作和代理业务，并为甲方资料保密，如因乙方原因造成甲方的损失，乙方承担全部责任。双方合作期间，乙方应积极配合甲方的工作。乙方提供的设计稿，应符合《中华人民共和国广告法》以及没有侵犯第三人的知识产权等权利，并须承担由此产生的一切全部法律责任，但因甲方提供的资料、文件、信息等不真实、不准确、不合法导致的，全部责任由甲方自行承担。</w:t>
      </w:r>
    </w:p>
    <w:p>
      <w:pPr>
        <w:tabs>
          <w:tab w:val="left" w:pos="960"/>
        </w:tabs>
        <w:spacing w:line="288" w:lineRule="auto"/>
        <w:ind w:left="960" w:hanging="360"/>
        <w:rPr>
          <w:rFonts w:ascii="宋体" w:hAnsi="宋体" w:cs="宋体"/>
        </w:rPr>
      </w:pPr>
      <w:r>
        <w:rPr>
          <w:rFonts w:hint="eastAsia" w:ascii="宋体" w:hAnsi="宋体" w:cs="宋体"/>
        </w:rPr>
        <w:t>3</w:t>
      </w:r>
      <w:r>
        <w:rPr>
          <w:rFonts w:ascii="宋体" w:hAnsi="宋体" w:cs="宋体"/>
        </w:rPr>
        <w:t>)</w:t>
      </w:r>
      <w:r>
        <w:rPr>
          <w:rFonts w:hint="eastAsia" w:ascii="宋体" w:hAnsi="宋体" w:cs="宋体"/>
          <w:szCs w:val="21"/>
        </w:rPr>
        <w:t>乙方所有策划方案及相关建议文案以书面形式向甲方汇报。甲方对内容和表现形式等的确认，不构成乙方对内容和表现形式等的承担责任的免除。</w:t>
      </w:r>
    </w:p>
    <w:p>
      <w:pPr>
        <w:tabs>
          <w:tab w:val="left" w:pos="960"/>
        </w:tabs>
        <w:spacing w:line="288" w:lineRule="auto"/>
        <w:ind w:left="960" w:hanging="360"/>
        <w:rPr>
          <w:rFonts w:ascii="宋体" w:hAnsi="宋体" w:cs="宋体"/>
        </w:rPr>
      </w:pPr>
      <w:r>
        <w:rPr>
          <w:rFonts w:hint="eastAsia" w:ascii="宋体" w:hAnsi="宋体" w:cs="宋体"/>
        </w:rPr>
        <w:t>4</w:t>
      </w:r>
      <w:r>
        <w:rPr>
          <w:rFonts w:ascii="宋体" w:hAnsi="宋体" w:cs="宋体"/>
        </w:rPr>
        <w:t>)</w:t>
      </w:r>
      <w:r>
        <w:rPr>
          <w:rFonts w:hint="eastAsia" w:ascii="宋体" w:hAnsi="宋体" w:cs="宋体"/>
          <w:szCs w:val="21"/>
        </w:rPr>
        <w:t>本项目的推广宣传工作中如有涉及调查公司、公关公司等第三方的工作内容，甲方需乙方对第三方进行监督的情况下，乙方应予以充分配合。</w:t>
      </w:r>
    </w:p>
    <w:p>
      <w:pPr>
        <w:tabs>
          <w:tab w:val="left" w:pos="960"/>
        </w:tabs>
        <w:spacing w:line="288" w:lineRule="auto"/>
        <w:ind w:left="960" w:hanging="36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乙方应遵从甲方既定的推广费用计划，严格监控推广投入成本，有效降低成本，力求最大的广告效益。</w:t>
      </w:r>
    </w:p>
    <w:p>
      <w:pPr>
        <w:spacing w:line="288" w:lineRule="auto"/>
        <w:rPr>
          <w:rFonts w:ascii="宋体" w:hAnsi="宋体" w:cs="宋体"/>
        </w:rPr>
      </w:pPr>
    </w:p>
    <w:p>
      <w:pPr>
        <w:spacing w:line="288" w:lineRule="auto"/>
        <w:rPr>
          <w:rFonts w:ascii="宋体" w:hAnsi="宋体" w:cs="宋体"/>
        </w:rPr>
      </w:pPr>
      <w:r>
        <w:rPr>
          <w:rFonts w:hint="eastAsia" w:ascii="宋体" w:hAnsi="宋体" w:cs="宋体"/>
        </w:rPr>
        <w:t>五、计费方式、结算方法：</w:t>
      </w:r>
    </w:p>
    <w:p>
      <w:pPr>
        <w:pStyle w:val="12"/>
        <w:numPr>
          <w:ilvl w:val="0"/>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rPr>
        <w:t>在本合同有效期内，甲方应向乙方支付服务费</w:t>
      </w:r>
      <w:r>
        <w:rPr>
          <w:rFonts w:hint="eastAsia" w:ascii="宋体" w:hAnsi="宋体" w:cs="宋体"/>
          <w:sz w:val="21"/>
          <w:szCs w:val="21"/>
          <w:lang w:val="en-GB"/>
        </w:rPr>
        <w:t>，</w:t>
      </w:r>
      <w:r>
        <w:rPr>
          <w:rFonts w:hint="eastAsia" w:ascii="宋体" w:hAnsi="宋体" w:cs="宋体"/>
          <w:sz w:val="21"/>
          <w:szCs w:val="21"/>
        </w:rPr>
        <w:t>具体如下：</w:t>
      </w:r>
    </w:p>
    <w:p>
      <w:pPr>
        <w:pStyle w:val="12"/>
        <w:numPr>
          <w:ilvl w:val="0"/>
          <w:numId w:val="6"/>
        </w:numPr>
        <w:tabs>
          <w:tab w:val="left" w:pos="540"/>
        </w:tabs>
        <w:spacing w:after="0" w:line="360" w:lineRule="auto"/>
        <w:ind w:left="945" w:leftChars="0" w:hanging="225"/>
        <w:rPr>
          <w:rFonts w:ascii="宋体" w:hAnsi="宋体" w:cs="宋体"/>
          <w:sz w:val="21"/>
          <w:szCs w:val="21"/>
        </w:rPr>
      </w:pPr>
      <w:r>
        <w:rPr>
          <w:rFonts w:hint="eastAsia" w:ascii="宋体" w:hAnsi="宋体" w:cs="宋体"/>
          <w:sz w:val="21"/>
          <w:szCs w:val="21"/>
        </w:rPr>
        <w:t>本合同服务费金额（含税）为     整（￥    元），含6%增值税专用发票)，其中不含税价为：人民币￥     元，增值税为人民币¥        元；如因国家政策变化导致增值税税率发生变化的，本合同项下不含增值税的合同价款金额不变，对应增值税金额按照新税率计算，合同价款总额作对应调整。</w:t>
      </w:r>
    </w:p>
    <w:p>
      <w:pPr>
        <w:pStyle w:val="12"/>
        <w:numPr>
          <w:ilvl w:val="0"/>
          <w:numId w:val="6"/>
        </w:numPr>
        <w:spacing w:after="0" w:line="360" w:lineRule="auto"/>
        <w:ind w:left="945" w:leftChars="0" w:hanging="225"/>
        <w:rPr>
          <w:rFonts w:ascii="宋体" w:hAnsi="宋体" w:cs="宋体"/>
          <w:sz w:val="21"/>
          <w:szCs w:val="21"/>
        </w:rPr>
      </w:pPr>
      <w:r>
        <w:rPr>
          <w:rFonts w:hint="eastAsia" w:ascii="宋体" w:hAnsi="宋体" w:cs="宋体"/>
          <w:sz w:val="21"/>
          <w:szCs w:val="21"/>
        </w:rPr>
        <w:t>本合同服务费用按照月度结算（即每月结算一次），每个月广告传播策划全案服务，共计服务费用为人民币      整（小写：¥         元），具体结算根据实际服务执行时间进行结算。</w:t>
      </w:r>
    </w:p>
    <w:p>
      <w:pPr>
        <w:pStyle w:val="12"/>
        <w:numPr>
          <w:ilvl w:val="0"/>
          <w:numId w:val="6"/>
        </w:numPr>
        <w:spacing w:line="360" w:lineRule="auto"/>
        <w:ind w:left="645" w:hanging="225"/>
        <w:rPr>
          <w:rFonts w:ascii="宋体" w:hAnsi="宋体" w:cs="宋体"/>
          <w:sz w:val="21"/>
          <w:szCs w:val="21"/>
        </w:rPr>
      </w:pPr>
      <w:r>
        <w:rPr>
          <w:rFonts w:hint="eastAsia" w:ascii="宋体" w:hAnsi="宋体" w:cs="宋体"/>
          <w:sz w:val="21"/>
          <w:szCs w:val="21"/>
        </w:rPr>
        <w:t>每次付款前，乙方应向甲方开具等额增值税专用发票。</w:t>
      </w:r>
    </w:p>
    <w:p>
      <w:pPr>
        <w:pStyle w:val="12"/>
        <w:numPr>
          <w:ilvl w:val="0"/>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rPr>
        <w:t>第三方费用</w:t>
      </w:r>
    </w:p>
    <w:p>
      <w:pPr>
        <w:pStyle w:val="12"/>
        <w:numPr>
          <w:ilvl w:val="1"/>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lang w:val="en-GB"/>
        </w:rPr>
        <w:t>因项目推广需要，若甲方需乙方借助或介绍第三方提供相关服务，甲方应向乙方提供其同意接受第三方服务的书面确认文件或是与第三方另行签订独立协议。</w:t>
      </w:r>
    </w:p>
    <w:p>
      <w:pPr>
        <w:pStyle w:val="12"/>
        <w:numPr>
          <w:ilvl w:val="1"/>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lang w:val="en-GB"/>
        </w:rPr>
        <w:t>若甲方与第三方另行签订独立协议，则甲方与第三方应根据该独立协议的条款分别享有权利及履行义务，与乙方无涉。</w:t>
      </w:r>
    </w:p>
    <w:p>
      <w:pPr>
        <w:pStyle w:val="12"/>
        <w:numPr>
          <w:ilvl w:val="1"/>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lang w:val="en-GB"/>
        </w:rPr>
        <w:t>若甲方未与第三方另行签订独立协议，则甲方应就其根据本合同约定接受第三方服务向乙方另行支付第三方费用。</w:t>
      </w:r>
    </w:p>
    <w:p>
      <w:pPr>
        <w:pStyle w:val="12"/>
        <w:numPr>
          <w:ilvl w:val="1"/>
          <w:numId w:val="5"/>
        </w:numPr>
        <w:tabs>
          <w:tab w:val="left" w:pos="540"/>
        </w:tabs>
        <w:spacing w:after="0" w:line="360" w:lineRule="auto"/>
        <w:ind w:leftChars="0"/>
        <w:rPr>
          <w:rFonts w:ascii="宋体" w:hAnsi="宋体" w:cs="宋体"/>
          <w:sz w:val="21"/>
          <w:szCs w:val="21"/>
          <w:lang w:val="en-GB"/>
        </w:rPr>
      </w:pPr>
      <w:r>
        <w:rPr>
          <w:rFonts w:hint="eastAsia" w:ascii="宋体" w:hAnsi="宋体" w:cs="宋体"/>
          <w:sz w:val="21"/>
          <w:szCs w:val="21"/>
          <w:lang w:val="en-GB"/>
        </w:rPr>
        <w:t>第三方费用是指乙方无法独立完成</w:t>
      </w:r>
      <w:r>
        <w:rPr>
          <w:rFonts w:hint="eastAsia" w:ascii="宋体" w:hAnsi="宋体" w:cs="宋体"/>
          <w:sz w:val="21"/>
          <w:szCs w:val="21"/>
        </w:rPr>
        <w:t>某项工作</w:t>
      </w:r>
      <w:r>
        <w:rPr>
          <w:rFonts w:hint="eastAsia" w:ascii="宋体" w:hAnsi="宋体" w:cs="宋体"/>
          <w:sz w:val="21"/>
          <w:szCs w:val="21"/>
          <w:lang w:val="en-GB"/>
        </w:rPr>
        <w:t>，经甲方同意后借助第三方资源完成</w:t>
      </w:r>
      <w:r>
        <w:rPr>
          <w:rFonts w:hint="eastAsia" w:ascii="宋体" w:hAnsi="宋体" w:cs="宋体"/>
          <w:sz w:val="21"/>
          <w:szCs w:val="21"/>
        </w:rPr>
        <w:t>该项工作所</w:t>
      </w:r>
      <w:r>
        <w:rPr>
          <w:rFonts w:hint="eastAsia" w:ascii="宋体" w:hAnsi="宋体" w:cs="宋体"/>
          <w:sz w:val="21"/>
          <w:szCs w:val="21"/>
          <w:lang w:val="en-GB"/>
        </w:rPr>
        <w:t>发生的成本费用。本合同服务费不包括第三方费用，第三方费用包括但不限于：</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导演、摄影师、项目形象代言人、广告模特、化妆、道具、服饰、场地租用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除中文以外的任何语言翻译的费用以及报酬；</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菲林制作费、菲林打样费、印刷费；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户型图渲染费用；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市场调查的相关费用；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公关活动执行费用；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制作费：展厅、展位设计制作、导视系统制作、VI系统的制作、平面广告制作、电视广告制作、其它各类制作费；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购买特殊物料、礼品制作、展会租场；</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电台广告录制投放费、网站制作及维护费、其它各媒体投放费；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项目宣传所需的插画、动画；</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景观及人物正片拍摄费；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租用图片社图片；</w:t>
      </w:r>
    </w:p>
    <w:p>
      <w:pPr>
        <w:pStyle w:val="12"/>
        <w:numPr>
          <w:ilvl w:val="0"/>
          <w:numId w:val="7"/>
        </w:numPr>
        <w:spacing w:after="0" w:line="360" w:lineRule="auto"/>
        <w:ind w:left="960" w:leftChars="0" w:firstLine="0"/>
        <w:rPr>
          <w:rFonts w:ascii="宋体" w:hAnsi="宋体" w:cs="宋体"/>
          <w:sz w:val="21"/>
          <w:szCs w:val="21"/>
        </w:rPr>
      </w:pPr>
      <w:r>
        <w:rPr>
          <w:rFonts w:hint="eastAsia" w:ascii="宋体" w:hAnsi="宋体" w:cs="宋体"/>
          <w:sz w:val="21"/>
          <w:szCs w:val="21"/>
          <w:lang w:val="en-GB"/>
        </w:rPr>
        <w:t>新闻、软性广告的撰写费；</w:t>
      </w:r>
    </w:p>
    <w:p>
      <w:pPr>
        <w:pStyle w:val="12"/>
        <w:numPr>
          <w:ilvl w:val="0"/>
          <w:numId w:val="7"/>
        </w:numPr>
        <w:spacing w:after="0" w:line="360" w:lineRule="auto"/>
        <w:ind w:left="960" w:leftChars="0" w:firstLine="0"/>
        <w:rPr>
          <w:rFonts w:ascii="宋体" w:hAnsi="宋体" w:cs="宋体"/>
          <w:sz w:val="21"/>
          <w:szCs w:val="21"/>
        </w:rPr>
      </w:pPr>
      <w:r>
        <w:rPr>
          <w:rFonts w:hint="eastAsia" w:ascii="宋体" w:hAnsi="宋体" w:cs="宋体"/>
          <w:sz w:val="21"/>
          <w:szCs w:val="21"/>
          <w:lang w:val="en-GB"/>
        </w:rPr>
        <w:t>因项目实际需要发生涉及第三方的其他费用。</w:t>
      </w:r>
    </w:p>
    <w:p>
      <w:pPr>
        <w:pStyle w:val="12"/>
        <w:numPr>
          <w:ilvl w:val="0"/>
          <w:numId w:val="7"/>
        </w:numPr>
        <w:spacing w:after="0" w:line="360" w:lineRule="auto"/>
        <w:ind w:left="960" w:leftChars="0" w:firstLine="0"/>
        <w:rPr>
          <w:rFonts w:ascii="宋体" w:hAnsi="宋体" w:cs="宋体"/>
          <w:sz w:val="21"/>
          <w:szCs w:val="21"/>
        </w:rPr>
      </w:pPr>
      <w:r>
        <w:rPr>
          <w:rFonts w:hint="eastAsia" w:ascii="宋体" w:hAnsi="宋体" w:cs="宋体"/>
          <w:sz w:val="21"/>
          <w:szCs w:val="21"/>
        </w:rPr>
        <w:t>第三方费用须由乙方在费用发生后七（7）个工作日内提交甲方确认。甲方应在收到乙方提交的确认申请及相关的有效票据后三（3）个工作日内予以确认，超过三（3）个工作日仍未确认的，视甲方已确认。甲方应在确认后七（7）个工作日内向乙方支付第三方费用。</w:t>
      </w:r>
    </w:p>
    <w:p>
      <w:pPr>
        <w:pStyle w:val="12"/>
        <w:numPr>
          <w:ilvl w:val="0"/>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rPr>
        <w:t>差旅费:本合同有效期内，乙方到甲方异地差旅费补贴为一万元整，乙方在月费请款时需同时提交差旅发票，实报实销。若应甲方邀请到其他异地出差由甲方统一安排。甲方在未做书面确认的情况下，乙方自行</w:t>
      </w:r>
      <w:r>
        <w:rPr>
          <w:rFonts w:hint="eastAsia" w:ascii="宋体" w:hAnsi="宋体" w:cs="宋体"/>
          <w:color w:val="000000"/>
          <w:sz w:val="21"/>
          <w:szCs w:val="21"/>
        </w:rPr>
        <w:t>出差</w:t>
      </w:r>
      <w:r>
        <w:rPr>
          <w:rFonts w:hint="eastAsia" w:ascii="宋体" w:hAnsi="宋体" w:cs="宋体"/>
          <w:sz w:val="21"/>
          <w:szCs w:val="21"/>
        </w:rPr>
        <w:t>所产生的费用，由乙方自己承担。</w:t>
      </w:r>
    </w:p>
    <w:p>
      <w:pPr>
        <w:spacing w:line="288" w:lineRule="auto"/>
        <w:ind w:left="1320"/>
        <w:rPr>
          <w:rFonts w:ascii="宋体" w:hAnsi="宋体" w:cs="宋体"/>
          <w:szCs w:val="21"/>
        </w:rPr>
      </w:pPr>
    </w:p>
    <w:p>
      <w:pPr>
        <w:spacing w:line="288" w:lineRule="auto"/>
        <w:rPr>
          <w:rFonts w:ascii="宋体" w:hAnsi="宋体" w:cs="宋体"/>
          <w:szCs w:val="21"/>
        </w:rPr>
      </w:pPr>
      <w:r>
        <w:rPr>
          <w:rFonts w:hint="eastAsia" w:ascii="宋体" w:hAnsi="宋体" w:cs="宋体"/>
          <w:szCs w:val="21"/>
        </w:rPr>
        <w:t>六、知识产权的归属</w:t>
      </w:r>
    </w:p>
    <w:p>
      <w:pPr>
        <w:spacing w:line="480" w:lineRule="exact"/>
        <w:ind w:left="315" w:hanging="315" w:hangingChars="150"/>
        <w:rPr>
          <w:rFonts w:ascii="宋体" w:hAnsi="宋体" w:cs="宋体"/>
          <w:szCs w:val="21"/>
        </w:rPr>
      </w:pPr>
      <w:r>
        <w:rPr>
          <w:rFonts w:hint="eastAsia" w:ascii="宋体" w:hAnsi="宋体" w:cs="宋体"/>
          <w:szCs w:val="21"/>
        </w:rPr>
        <w:t>1、对于乙方为履行本合同向甲方提交并为甲方所采纳的，而且甲方已付清相应工作阶段费用的所有方案和作品，知识产权归甲方所有；未支付相应工作阶段费用的所有方案和作品，知识产权归乙方所有。在设计成品发布后，乙方有权将其所设计的作品和完成的策划方案参与公益、专业、行业或各类组织机构所组织的竞赛评比活动及各种公开交流。</w:t>
      </w:r>
    </w:p>
    <w:p>
      <w:pPr>
        <w:spacing w:line="480" w:lineRule="exact"/>
        <w:ind w:left="315" w:hanging="315" w:hangingChars="150"/>
        <w:rPr>
          <w:rFonts w:ascii="宋体" w:hAnsi="宋体" w:cs="宋体"/>
          <w:szCs w:val="21"/>
        </w:rPr>
      </w:pPr>
      <w:r>
        <w:rPr>
          <w:rFonts w:hint="eastAsia" w:ascii="宋体" w:hAnsi="宋体" w:cs="宋体"/>
          <w:szCs w:val="21"/>
        </w:rPr>
        <w:t>2、乙方依据本协议为甲方提供的项目策划方案、作品等资料应为乙方独创作品，若所提供的方案、作品侵犯了他人在先的知识产权而导致甲方损失，则乙方应赔偿由此给甲方所造成的全部损失。</w:t>
      </w:r>
    </w:p>
    <w:p>
      <w:pPr>
        <w:spacing w:line="480" w:lineRule="exact"/>
        <w:rPr>
          <w:rFonts w:ascii="宋体" w:hAnsi="宋体" w:cs="宋体"/>
          <w:szCs w:val="21"/>
        </w:rPr>
      </w:pPr>
    </w:p>
    <w:p>
      <w:pPr>
        <w:spacing w:line="288" w:lineRule="auto"/>
        <w:rPr>
          <w:rFonts w:ascii="宋体" w:hAnsi="宋体" w:cs="宋体"/>
          <w:szCs w:val="21"/>
        </w:rPr>
      </w:pPr>
      <w:r>
        <w:rPr>
          <w:rFonts w:hint="eastAsia" w:ascii="宋体" w:hAnsi="宋体" w:cs="宋体"/>
          <w:szCs w:val="21"/>
        </w:rPr>
        <w:t>七、保密</w:t>
      </w:r>
    </w:p>
    <w:p>
      <w:pPr>
        <w:pStyle w:val="7"/>
        <w:numPr>
          <w:ilvl w:val="0"/>
          <w:numId w:val="8"/>
        </w:numPr>
        <w:spacing w:line="480" w:lineRule="exact"/>
        <w:rPr>
          <w:rFonts w:cs="宋体"/>
          <w:sz w:val="21"/>
          <w:szCs w:val="21"/>
        </w:rPr>
      </w:pPr>
      <w:r>
        <w:rPr>
          <w:rFonts w:hint="eastAsia" w:cs="宋体"/>
          <w:sz w:val="21"/>
          <w:szCs w:val="21"/>
        </w:rPr>
        <w:t>乙方同意将所有甲方提供之资料和数据及乙方在服务期间所知悉的甲方的商业秘密、为甲方所采纳的方案等资料保密，未经甲方书面同意，不得泄露给第三者或者以任何不正当的目的和方式使用。如乙方违反保密约定，则乙方应赔偿由此给甲方所造成的实际损失。</w:t>
      </w:r>
    </w:p>
    <w:p>
      <w:pPr>
        <w:pStyle w:val="7"/>
        <w:numPr>
          <w:ilvl w:val="0"/>
          <w:numId w:val="8"/>
        </w:numPr>
        <w:spacing w:line="480" w:lineRule="exact"/>
        <w:rPr>
          <w:rFonts w:cs="宋体"/>
          <w:sz w:val="21"/>
          <w:szCs w:val="21"/>
        </w:rPr>
      </w:pPr>
      <w:r>
        <w:rPr>
          <w:rFonts w:hint="eastAsia" w:cs="宋体"/>
          <w:sz w:val="21"/>
          <w:szCs w:val="21"/>
        </w:rPr>
        <w:t>如有第三方参与的工作，如影视拍摄、包装制作、市场调研、户型渲染等，甲方必须与第三方（或包括乙方在内的三方）签署项目的商业保密协议，如因第三方造成泄密，乙方不承担任何的经济损失和责任赔偿。</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八、争议的解决</w:t>
      </w:r>
    </w:p>
    <w:p>
      <w:pPr>
        <w:pStyle w:val="7"/>
        <w:numPr>
          <w:ilvl w:val="0"/>
          <w:numId w:val="9"/>
        </w:numPr>
        <w:spacing w:line="480" w:lineRule="exact"/>
        <w:rPr>
          <w:rFonts w:cs="宋体"/>
          <w:sz w:val="21"/>
          <w:szCs w:val="21"/>
        </w:rPr>
      </w:pPr>
      <w:r>
        <w:rPr>
          <w:rFonts w:hint="eastAsia" w:cs="宋体"/>
          <w:sz w:val="21"/>
          <w:szCs w:val="21"/>
        </w:rPr>
        <w:t>本合同在履行中如发生争议，双方应首先友好协商解决，如经协商解决不成时，由甲方所在地有管辖权的人民法院诉讼解决争议。</w:t>
      </w:r>
    </w:p>
    <w:p>
      <w:pPr>
        <w:spacing w:line="480" w:lineRule="exact"/>
        <w:ind w:firstLine="420" w:firstLineChars="200"/>
        <w:rPr>
          <w:rFonts w:ascii="宋体" w:hAnsi="宋体" w:cs="宋体"/>
          <w:szCs w:val="21"/>
        </w:rPr>
      </w:pPr>
    </w:p>
    <w:p>
      <w:pPr>
        <w:spacing w:line="480" w:lineRule="exact"/>
        <w:rPr>
          <w:rFonts w:ascii="宋体" w:hAnsi="宋体" w:cs="宋体"/>
          <w:szCs w:val="21"/>
        </w:rPr>
      </w:pPr>
      <w:r>
        <w:rPr>
          <w:rFonts w:hint="eastAsia" w:ascii="宋体" w:hAnsi="宋体" w:cs="宋体"/>
          <w:szCs w:val="21"/>
        </w:rPr>
        <w:t>九、违约责任</w:t>
      </w:r>
    </w:p>
    <w:p>
      <w:pPr>
        <w:spacing w:line="480" w:lineRule="exact"/>
        <w:ind w:left="525" w:leftChars="100" w:hanging="315" w:hangingChars="150"/>
        <w:rPr>
          <w:rFonts w:ascii="宋体" w:hAnsi="宋体" w:cs="宋体"/>
          <w:szCs w:val="21"/>
        </w:rPr>
      </w:pPr>
      <w:r>
        <w:rPr>
          <w:rFonts w:hint="eastAsia" w:ascii="宋体" w:hAnsi="宋体" w:cs="宋体"/>
          <w:szCs w:val="21"/>
        </w:rPr>
        <w:t>1、甲、乙双方除自然力，政府等不可抗力之因素及甲方书面要求外，应按本合同或各分项合同约定之要求，完成各项工作。</w:t>
      </w:r>
    </w:p>
    <w:p>
      <w:pPr>
        <w:spacing w:line="480" w:lineRule="exact"/>
        <w:ind w:left="525" w:leftChars="100" w:hanging="315" w:hangingChars="150"/>
        <w:rPr>
          <w:rFonts w:ascii="宋体" w:hAnsi="宋体" w:cs="宋体"/>
          <w:szCs w:val="21"/>
        </w:rPr>
      </w:pPr>
      <w:r>
        <w:rPr>
          <w:rFonts w:hint="eastAsia" w:ascii="宋体" w:hAnsi="宋体" w:cs="宋体"/>
          <w:szCs w:val="21"/>
        </w:rPr>
        <w:t>2、在合作期间，乙方不能按照双方共同书面确定的宣传计划时间及时开展工作，从而给甲方造成工作延误或影响，乙方应承担由此导致甲方一切直接经济损失的赔偿责任。</w:t>
      </w:r>
    </w:p>
    <w:p>
      <w:pPr>
        <w:spacing w:line="480" w:lineRule="exact"/>
        <w:ind w:left="525" w:leftChars="100" w:hanging="315" w:hangingChars="150"/>
        <w:rPr>
          <w:rFonts w:ascii="宋体" w:hAnsi="宋体" w:cs="宋体"/>
          <w:szCs w:val="21"/>
        </w:rPr>
      </w:pPr>
      <w:r>
        <w:rPr>
          <w:rFonts w:hint="eastAsia" w:ascii="宋体" w:hAnsi="宋体" w:cs="宋体"/>
          <w:szCs w:val="21"/>
        </w:rPr>
        <w:t>3、合同期内，乙方应严格执行以上条款，保证所提交给甲方的作品或公关活动等营销方案无违反国家相关法律、法规，无侵犯他人合法权益，是自己的原创作品，如出现上述问题，乙方承担全部责任，并赔偿由此给甲方造成一切直接经济损失。</w:t>
      </w:r>
    </w:p>
    <w:p>
      <w:pPr>
        <w:spacing w:line="480" w:lineRule="exact"/>
        <w:ind w:left="525" w:leftChars="100" w:hanging="315" w:hangingChars="150"/>
        <w:rPr>
          <w:rFonts w:ascii="宋体" w:hAnsi="宋体" w:cs="宋体"/>
          <w:szCs w:val="21"/>
        </w:rPr>
      </w:pPr>
      <w:r>
        <w:rPr>
          <w:rFonts w:hint="eastAsia" w:ascii="宋体" w:hAnsi="宋体" w:cs="宋体"/>
          <w:szCs w:val="21"/>
        </w:rPr>
        <w:t>4、如因甲方原因，未能按时付款的，每逾期一天按应付未付款5‰支付违约金给乙方，且乙方有权暂停工作，逾期付款达到60天的，乙方有权解除本合同。</w:t>
      </w:r>
    </w:p>
    <w:p>
      <w:pPr>
        <w:spacing w:line="480" w:lineRule="exact"/>
        <w:ind w:left="525" w:leftChars="100" w:hanging="315" w:hangingChars="150"/>
        <w:rPr>
          <w:rFonts w:ascii="宋体" w:hAnsi="宋体" w:cs="宋体"/>
          <w:szCs w:val="21"/>
        </w:rPr>
      </w:pPr>
      <w:r>
        <w:rPr>
          <w:rFonts w:hint="eastAsia" w:ascii="宋体" w:hAnsi="宋体" w:cs="宋体"/>
          <w:szCs w:val="21"/>
        </w:rPr>
        <w:t>5、任何一方违反本合同约定的，除应承担违约责任外，还应支付因此另一方因此发生的费用（包括但不限于诉讼费、差旅费、律师费、鉴定评估费、查证费等）。</w:t>
      </w:r>
    </w:p>
    <w:p>
      <w:pPr>
        <w:spacing w:line="288" w:lineRule="auto"/>
        <w:ind w:left="525" w:leftChars="100" w:hanging="315" w:hangingChars="150"/>
        <w:rPr>
          <w:rFonts w:ascii="宋体" w:hAnsi="宋体" w:cs="宋体"/>
          <w:szCs w:val="21"/>
        </w:rPr>
      </w:pPr>
    </w:p>
    <w:p>
      <w:pPr>
        <w:spacing w:line="480" w:lineRule="exact"/>
        <w:rPr>
          <w:rFonts w:ascii="宋体" w:hAnsi="宋体" w:cs="宋体"/>
          <w:szCs w:val="21"/>
        </w:rPr>
      </w:pPr>
      <w:r>
        <w:rPr>
          <w:rFonts w:hint="eastAsia" w:ascii="宋体" w:hAnsi="宋体" w:cs="宋体"/>
          <w:szCs w:val="21"/>
        </w:rPr>
        <w:t>十、合同的解除</w:t>
      </w:r>
    </w:p>
    <w:p>
      <w:pPr>
        <w:pStyle w:val="7"/>
        <w:spacing w:line="480" w:lineRule="exact"/>
        <w:ind w:left="315" w:hanging="315" w:hangingChars="150"/>
        <w:rPr>
          <w:rFonts w:cs="宋体"/>
          <w:sz w:val="21"/>
          <w:szCs w:val="21"/>
        </w:rPr>
      </w:pPr>
      <w:r>
        <w:rPr>
          <w:rFonts w:hint="eastAsia" w:cs="宋体"/>
          <w:sz w:val="21"/>
          <w:szCs w:val="21"/>
        </w:rPr>
        <w:t>1、任何一方违反本合同的约定，守约方有权通知违约方予以及时纠正；若违约方不能在10个工作日内纠正，则守约方有权解除合同。</w:t>
      </w:r>
    </w:p>
    <w:p>
      <w:pPr>
        <w:pStyle w:val="7"/>
        <w:spacing w:line="480" w:lineRule="exact"/>
        <w:ind w:left="315" w:hanging="315" w:hangingChars="150"/>
        <w:rPr>
          <w:rFonts w:cs="宋体"/>
          <w:sz w:val="21"/>
          <w:szCs w:val="21"/>
        </w:rPr>
      </w:pPr>
      <w:r>
        <w:rPr>
          <w:rFonts w:hint="eastAsia" w:cs="宋体"/>
          <w:sz w:val="21"/>
          <w:szCs w:val="21"/>
        </w:rPr>
        <w:t>2、甲方未按合同约定的金额、时间向乙方付款，乙方可向甲方发出书面催款通知书，如甲方逾期60日未履行付款义务，乙方有权单方面解除合同，乙方解除合同后不影响其根据本合同约定的有关条款向甲方主张付清欠款、承担违约责任及赔偿损失的权利。</w:t>
      </w:r>
    </w:p>
    <w:p>
      <w:pPr>
        <w:pStyle w:val="7"/>
        <w:spacing w:line="480" w:lineRule="exact"/>
        <w:ind w:left="315" w:hanging="315" w:hangingChars="150"/>
        <w:rPr>
          <w:rFonts w:cs="宋体"/>
          <w:sz w:val="21"/>
          <w:szCs w:val="21"/>
        </w:rPr>
      </w:pPr>
      <w:r>
        <w:rPr>
          <w:rFonts w:hint="eastAsia" w:cs="宋体"/>
          <w:sz w:val="21"/>
          <w:szCs w:val="21"/>
        </w:rPr>
        <w:t>3、除出现本合同约定的乙方免除违约责任的情形外，乙方未按合同约定的条件、时间向甲方交付作品，甲方可向乙方发出书面催告函，乙方收到催告函后20日仍未交付作品的，甲方有权解除本合同，甲方解除合同后不影响其根据本合同约定的有关条款向乙方主张违约责任及赔偿损失的权利。</w:t>
      </w:r>
    </w:p>
    <w:p>
      <w:pPr>
        <w:pStyle w:val="7"/>
        <w:spacing w:line="480" w:lineRule="exact"/>
        <w:ind w:left="315" w:hanging="315" w:hangingChars="150"/>
        <w:rPr>
          <w:rFonts w:cs="宋体"/>
          <w:sz w:val="21"/>
          <w:szCs w:val="21"/>
        </w:rPr>
      </w:pPr>
      <w:r>
        <w:rPr>
          <w:rFonts w:hint="eastAsia" w:cs="宋体"/>
          <w:sz w:val="21"/>
          <w:szCs w:val="21"/>
        </w:rPr>
        <w:t>4、若本合同一方依据本合同的约定提出解除合同，必须至少提前三个工作日书面通知对方，并指明解除合同的具体时间，但本合同另有约定的除外。</w:t>
      </w:r>
    </w:p>
    <w:p>
      <w:pPr>
        <w:pStyle w:val="7"/>
        <w:spacing w:line="480" w:lineRule="exact"/>
        <w:ind w:left="315" w:hanging="315" w:hangingChars="150"/>
        <w:rPr>
          <w:rFonts w:cs="宋体"/>
          <w:sz w:val="21"/>
          <w:szCs w:val="21"/>
        </w:rPr>
      </w:pPr>
      <w:r>
        <w:rPr>
          <w:rFonts w:hint="eastAsia" w:cs="宋体"/>
          <w:sz w:val="21"/>
          <w:szCs w:val="21"/>
        </w:rPr>
        <w:t>5、本合同解除后，甲方仍须依据本合同约定与乙方结算应付而未付的月度服务费（不足一个月的部分以实际天数计算，时间截止于合同解除之日，每日服务费=月服务费÷30天），本合同解除后5个工作日内，甲方在扣除经双方确认的乙方应付的违约金（如有）后向乙方付清。若甲方未在约定时间支付的，自逾期之日起每日按拖欠款金额的万分之一向乙方支付滞纳金。</w:t>
      </w:r>
    </w:p>
    <w:p>
      <w:pPr>
        <w:spacing w:line="480" w:lineRule="exact"/>
        <w:ind w:left="525" w:leftChars="100" w:hanging="315" w:hangingChars="150"/>
        <w:rPr>
          <w:rFonts w:ascii="宋体" w:hAnsi="宋体" w:cs="宋体"/>
          <w:szCs w:val="21"/>
        </w:rPr>
      </w:pPr>
      <w:r>
        <w:rPr>
          <w:rFonts w:hint="eastAsia" w:ascii="宋体" w:hAnsi="宋体" w:cs="宋体"/>
          <w:szCs w:val="21"/>
        </w:rPr>
        <w:t>6、甲方无故单方解除合同或因甲方违约导致乙方解除本合同的，甲方除应按本合同约定与乙方结算服务费外，还应按本合同服务费金额的10%支付违约金给乙方。</w:t>
      </w:r>
    </w:p>
    <w:p>
      <w:pPr>
        <w:pStyle w:val="7"/>
        <w:spacing w:line="480" w:lineRule="exact"/>
        <w:ind w:left="315" w:hanging="315" w:hangingChars="150"/>
        <w:rPr>
          <w:rFonts w:cs="宋体"/>
          <w:sz w:val="21"/>
          <w:szCs w:val="21"/>
        </w:rPr>
      </w:pPr>
    </w:p>
    <w:p>
      <w:pPr>
        <w:pStyle w:val="7"/>
        <w:spacing w:line="480" w:lineRule="exact"/>
        <w:rPr>
          <w:rFonts w:cs="宋体"/>
          <w:sz w:val="21"/>
          <w:szCs w:val="21"/>
        </w:rPr>
      </w:pPr>
    </w:p>
    <w:p>
      <w:pPr>
        <w:spacing w:line="480" w:lineRule="exact"/>
        <w:rPr>
          <w:rFonts w:ascii="宋体" w:hAnsi="宋体" w:cs="宋体"/>
          <w:szCs w:val="21"/>
        </w:rPr>
      </w:pPr>
      <w:r>
        <w:rPr>
          <w:rFonts w:hint="eastAsia" w:ascii="宋体" w:hAnsi="宋体" w:cs="宋体"/>
          <w:szCs w:val="21"/>
        </w:rPr>
        <w:t>第十一条、其它</w:t>
      </w:r>
    </w:p>
    <w:p>
      <w:pPr>
        <w:spacing w:line="480" w:lineRule="exact"/>
        <w:ind w:left="735" w:leftChars="200" w:hanging="315" w:hangingChars="150"/>
        <w:rPr>
          <w:rFonts w:ascii="宋体" w:hAnsi="宋体" w:cs="宋体"/>
          <w:szCs w:val="21"/>
        </w:rPr>
      </w:pPr>
      <w:r>
        <w:rPr>
          <w:rFonts w:hint="eastAsia" w:ascii="宋体" w:hAnsi="宋体" w:cs="宋体"/>
          <w:szCs w:val="21"/>
        </w:rPr>
        <w:t>2、本合同未尽事宜，双方另行协商解决，可签订补充协议，补充协议与本合同具有同等法律效力。</w:t>
      </w:r>
    </w:p>
    <w:p>
      <w:pPr>
        <w:spacing w:line="480" w:lineRule="exact"/>
        <w:ind w:left="420" w:leftChars="200"/>
        <w:rPr>
          <w:rFonts w:ascii="宋体" w:hAnsi="宋体" w:cs="宋体"/>
          <w:szCs w:val="21"/>
        </w:rPr>
      </w:pPr>
      <w:r>
        <w:rPr>
          <w:rFonts w:hint="eastAsia" w:ascii="宋体" w:hAnsi="宋体" w:cs="宋体"/>
          <w:szCs w:val="21"/>
        </w:rPr>
        <w:t>3、本合同一式六份，甲方四份，乙方两份。具有同等法律效力。</w:t>
      </w:r>
    </w:p>
    <w:p>
      <w:pPr>
        <w:spacing w:line="480" w:lineRule="exact"/>
        <w:ind w:left="420" w:leftChars="200"/>
        <w:rPr>
          <w:rFonts w:ascii="宋体" w:hAnsi="宋体" w:cs="宋体"/>
          <w:szCs w:val="21"/>
        </w:rPr>
      </w:pPr>
      <w:r>
        <w:rPr>
          <w:rFonts w:hint="eastAsia" w:ascii="宋体" w:hAnsi="宋体" w:cs="宋体"/>
          <w:szCs w:val="21"/>
        </w:rPr>
        <w:t>4、本合同自甲、乙双方签字并盖章之日起生效。</w:t>
      </w:r>
    </w:p>
    <w:p>
      <w:pPr>
        <w:spacing w:line="480" w:lineRule="exact"/>
        <w:ind w:left="420" w:leftChars="200"/>
        <w:rPr>
          <w:rFonts w:ascii="宋体" w:hAnsi="宋体" w:cs="宋体"/>
          <w:szCs w:val="21"/>
        </w:rPr>
      </w:pPr>
      <w:r>
        <w:rPr>
          <w:rFonts w:hint="eastAsia" w:ascii="宋体" w:hAnsi="宋体" w:cs="宋体"/>
          <w:szCs w:val="21"/>
        </w:rPr>
        <w:t>5、甲方指定收取乙方工作成果的邮箱地址为：</w:t>
      </w:r>
      <w:r>
        <w:rPr>
          <w:rFonts w:hint="eastAsia" w:ascii="宋体" w:hAnsi="宋体" w:cs="宋体"/>
          <w:szCs w:val="21"/>
          <w:u w:val="single"/>
        </w:rPr>
        <w:t xml:space="preserve">             </w:t>
      </w:r>
      <w:r>
        <w:rPr>
          <w:rFonts w:hint="eastAsia" w:ascii="宋体" w:hAnsi="宋体" w:cs="宋体"/>
          <w:szCs w:val="21"/>
        </w:rPr>
        <w:t>，乙方发送到该地址视为已向甲方交付工作成果。</w:t>
      </w:r>
    </w:p>
    <w:p>
      <w:pPr>
        <w:spacing w:line="288" w:lineRule="auto"/>
        <w:rPr>
          <w:rFonts w:ascii="宋体" w:hAnsi="宋体" w:cs="宋体"/>
          <w:szCs w:val="21"/>
        </w:rPr>
      </w:pPr>
      <w:r>
        <w:rPr>
          <w:rFonts w:hint="eastAsia" w:ascii="宋体" w:hAnsi="宋体" w:cs="宋体"/>
          <w:szCs w:val="21"/>
        </w:rPr>
        <w:br w:type="page"/>
      </w:r>
      <w:r>
        <w:rPr>
          <w:rFonts w:hint="eastAsia" w:ascii="宋体" w:hAnsi="宋体" w:cs="宋体"/>
          <w:szCs w:val="21"/>
        </w:rPr>
        <w:t>（本页无正文）</w:t>
      </w: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color w:val="000000"/>
          <w:szCs w:val="21"/>
        </w:rPr>
      </w:pPr>
      <w:r>
        <w:rPr>
          <w:rFonts w:hint="eastAsia" w:ascii="宋体" w:hAnsi="宋体" w:cs="宋体"/>
          <w:color w:val="000000"/>
          <w:szCs w:val="21"/>
        </w:rPr>
        <w:t>甲方：                              乙方：</w:t>
      </w:r>
    </w:p>
    <w:p>
      <w:pPr>
        <w:spacing w:line="120" w:lineRule="auto"/>
        <w:rPr>
          <w:rFonts w:ascii="宋体" w:hAnsi="宋体" w:cs="宋体"/>
          <w:color w:val="000000"/>
          <w:szCs w:val="21"/>
        </w:rPr>
      </w:pPr>
    </w:p>
    <w:p>
      <w:pPr>
        <w:spacing w:line="120" w:lineRule="auto"/>
        <w:rPr>
          <w:rFonts w:ascii="宋体" w:hAnsi="宋体" w:cs="宋体"/>
          <w:color w:val="000000"/>
          <w:szCs w:val="21"/>
        </w:rPr>
      </w:pPr>
      <w:r>
        <w:rPr>
          <w:rFonts w:hint="eastAsia" w:ascii="宋体" w:hAnsi="宋体" w:cs="宋体"/>
          <w:color w:val="000000"/>
          <w:szCs w:val="21"/>
        </w:rPr>
        <w:t>法人代表（盖章）：                   法人代表（盖章）：</w:t>
      </w:r>
    </w:p>
    <w:p>
      <w:pPr>
        <w:spacing w:line="120" w:lineRule="auto"/>
        <w:rPr>
          <w:rFonts w:ascii="宋体" w:hAnsi="宋体" w:cs="宋体"/>
          <w:color w:val="000000"/>
          <w:szCs w:val="21"/>
        </w:rPr>
      </w:pPr>
    </w:p>
    <w:p>
      <w:pPr>
        <w:spacing w:line="120" w:lineRule="auto"/>
        <w:rPr>
          <w:rFonts w:ascii="宋体" w:hAnsi="宋体" w:cs="宋体"/>
          <w:color w:val="000000"/>
          <w:szCs w:val="21"/>
        </w:rPr>
      </w:pPr>
      <w:r>
        <w:rPr>
          <w:rFonts w:hint="eastAsia" w:ascii="宋体" w:hAnsi="宋体" w:cs="宋体"/>
          <w:color w:val="000000"/>
          <w:szCs w:val="21"/>
        </w:rPr>
        <w:t>法人代表委托人：                    法人代表委托人：</w:t>
      </w:r>
    </w:p>
    <w:p>
      <w:pPr>
        <w:spacing w:line="120" w:lineRule="auto"/>
        <w:rPr>
          <w:rFonts w:ascii="宋体" w:hAnsi="宋体" w:cs="宋体"/>
          <w:color w:val="000000"/>
          <w:szCs w:val="21"/>
        </w:rPr>
      </w:pPr>
    </w:p>
    <w:p>
      <w:pPr>
        <w:spacing w:line="120" w:lineRule="auto"/>
        <w:ind w:left="4410" w:hanging="4410" w:hangingChars="2100"/>
        <w:rPr>
          <w:rFonts w:ascii="宋体" w:hAnsi="宋体" w:cs="宋体"/>
          <w:color w:val="000000"/>
          <w:szCs w:val="21"/>
          <w:u w:val="single"/>
        </w:rPr>
      </w:pPr>
      <w:r>
        <w:rPr>
          <w:rFonts w:hint="eastAsia" w:ascii="宋体" w:hAnsi="宋体" w:cs="宋体"/>
          <w:color w:val="000000"/>
          <w:szCs w:val="21"/>
        </w:rPr>
        <w:t>地址：                              地址：</w:t>
      </w:r>
    </w:p>
    <w:p>
      <w:pPr>
        <w:spacing w:line="120" w:lineRule="auto"/>
        <w:rPr>
          <w:rFonts w:ascii="宋体" w:hAnsi="宋体" w:cs="宋体"/>
          <w:color w:val="000000"/>
          <w:szCs w:val="21"/>
        </w:rPr>
      </w:pPr>
    </w:p>
    <w:p>
      <w:pPr>
        <w:spacing w:line="120" w:lineRule="auto"/>
        <w:rPr>
          <w:rFonts w:ascii="宋体" w:hAnsi="宋体" w:cs="宋体"/>
          <w:color w:val="000000"/>
          <w:szCs w:val="21"/>
          <w:u w:val="single"/>
        </w:rPr>
      </w:pPr>
      <w:r>
        <w:rPr>
          <w:rFonts w:hint="eastAsia" w:ascii="宋体" w:hAnsi="宋体" w:cs="宋体"/>
          <w:color w:val="000000"/>
          <w:szCs w:val="21"/>
        </w:rPr>
        <w:t>联系电话：                          联系电话：</w:t>
      </w:r>
    </w:p>
    <w:p>
      <w:pPr>
        <w:pStyle w:val="2"/>
        <w:rPr>
          <w:rFonts w:hAnsi="宋体" w:eastAsia="宋体" w:cs="宋体"/>
          <w:sz w:val="21"/>
          <w:szCs w:val="21"/>
        </w:rPr>
      </w:pPr>
    </w:p>
    <w:p>
      <w:pPr>
        <w:tabs>
          <w:tab w:val="left" w:pos="5520"/>
        </w:tabs>
        <w:spacing w:line="120" w:lineRule="auto"/>
        <w:rPr>
          <w:rFonts w:ascii="宋体" w:hAnsi="宋体" w:cs="宋体"/>
          <w:color w:val="000000"/>
          <w:szCs w:val="21"/>
        </w:rPr>
      </w:pPr>
      <w:r>
        <w:rPr>
          <w:rFonts w:hint="eastAsia" w:ascii="宋体" w:hAnsi="宋体" w:cs="宋体"/>
          <w:color w:val="000000"/>
          <w:szCs w:val="21"/>
        </w:rPr>
        <w:t>开户名称：                          开户名称：</w:t>
      </w:r>
    </w:p>
    <w:p>
      <w:pPr>
        <w:spacing w:line="120" w:lineRule="auto"/>
        <w:rPr>
          <w:rFonts w:ascii="宋体" w:hAnsi="宋体" w:cs="宋体"/>
          <w:color w:val="000000"/>
          <w:szCs w:val="21"/>
        </w:rPr>
      </w:pPr>
    </w:p>
    <w:p>
      <w:pPr>
        <w:spacing w:line="120" w:lineRule="auto"/>
        <w:rPr>
          <w:rFonts w:ascii="宋体" w:hAnsi="宋体" w:cs="宋体"/>
          <w:color w:val="000000"/>
          <w:szCs w:val="21"/>
        </w:rPr>
      </w:pPr>
      <w:r>
        <w:rPr>
          <w:rFonts w:hint="eastAsia" w:ascii="宋体" w:hAnsi="宋体" w:cs="宋体"/>
          <w:color w:val="000000"/>
          <w:szCs w:val="21"/>
        </w:rPr>
        <w:t>开户银行：                          开户银行：</w:t>
      </w:r>
    </w:p>
    <w:p>
      <w:pPr>
        <w:spacing w:line="120" w:lineRule="auto"/>
        <w:rPr>
          <w:rFonts w:ascii="宋体" w:hAnsi="宋体" w:cs="宋体"/>
          <w:color w:val="000000"/>
          <w:szCs w:val="21"/>
        </w:rPr>
      </w:pPr>
    </w:p>
    <w:p>
      <w:pPr>
        <w:spacing w:line="120" w:lineRule="auto"/>
        <w:rPr>
          <w:rFonts w:ascii="宋体" w:hAnsi="宋体" w:cs="宋体"/>
          <w:color w:val="000000"/>
          <w:szCs w:val="21"/>
        </w:rPr>
      </w:pPr>
      <w:r>
        <w:rPr>
          <w:rFonts w:hint="eastAsia" w:ascii="宋体" w:hAnsi="宋体" w:cs="宋体"/>
          <w:color w:val="000000"/>
          <w:szCs w:val="21"/>
        </w:rPr>
        <w:t>帐号：                              帐号：</w:t>
      </w:r>
    </w:p>
    <w:p>
      <w:pPr>
        <w:spacing w:line="120" w:lineRule="auto"/>
        <w:jc w:val="left"/>
        <w:rPr>
          <w:rFonts w:ascii="宋体" w:hAnsi="宋体" w:cs="宋体"/>
          <w:color w:val="000000"/>
          <w:szCs w:val="21"/>
        </w:rPr>
      </w:pPr>
    </w:p>
    <w:p>
      <w:pPr>
        <w:spacing w:line="120" w:lineRule="auto"/>
        <w:jc w:val="right"/>
        <w:rPr>
          <w:rFonts w:ascii="宋体" w:hAnsi="宋体" w:cs="宋体"/>
          <w:color w:val="000000"/>
          <w:szCs w:val="21"/>
        </w:rPr>
      </w:pPr>
      <w:r>
        <w:rPr>
          <w:rFonts w:hint="eastAsia" w:ascii="宋体" w:hAnsi="宋体" w:cs="宋体"/>
          <w:color w:val="000000"/>
          <w:szCs w:val="21"/>
        </w:rPr>
        <w:t>签定日期：20  年   月   日</w:t>
      </w:r>
    </w:p>
    <w:p>
      <w:pPr>
        <w:spacing w:line="120" w:lineRule="auto"/>
        <w:ind w:right="120"/>
        <w:jc w:val="right"/>
        <w:rPr>
          <w:rFonts w:ascii="宋体" w:hAnsi="宋体" w:cs="宋体"/>
          <w:color w:val="000000"/>
          <w:szCs w:val="21"/>
        </w:rPr>
      </w:pPr>
    </w:p>
    <w:p>
      <w:pPr>
        <w:rPr>
          <w:rFonts w:hint="eastAsia" w:ascii="宋体" w:hAnsi="宋体" w:cs="宋体"/>
          <w:color w:val="000000"/>
          <w:kern w:val="0"/>
          <w:sz w:val="28"/>
          <w:szCs w:val="28"/>
        </w:rPr>
      </w:pPr>
      <w:r>
        <w:rPr>
          <w:rFonts w:hint="eastAsia" w:ascii="宋体" w:hAnsi="宋体" w:cs="宋体"/>
          <w:color w:val="000000"/>
          <w:kern w:val="0"/>
          <w:sz w:val="28"/>
          <w:szCs w:val="28"/>
        </w:rPr>
        <w:br w:type="page"/>
      </w:r>
    </w:p>
    <w:p>
      <w:pPr>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rPr>
        <w:t>本合同附件【一】</w:t>
      </w:r>
    </w:p>
    <w:tbl>
      <w:tblPr>
        <w:tblStyle w:val="13"/>
        <w:tblW w:w="829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690"/>
        <w:gridCol w:w="765"/>
        <w:gridCol w:w="930"/>
        <w:gridCol w:w="3990"/>
        <w:gridCol w:w="1320"/>
      </w:tblGrid>
      <w:tr>
        <w:tblPrEx>
          <w:shd w:val="clear" w:color="auto" w:fill="auto"/>
          <w:tblCellMar>
            <w:top w:w="0" w:type="dxa"/>
            <w:left w:w="108" w:type="dxa"/>
            <w:bottom w:w="0" w:type="dxa"/>
            <w:right w:w="108" w:type="dxa"/>
          </w:tblCellMar>
        </w:tblPrEx>
        <w:trPr>
          <w:trHeight w:val="72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详情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类别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名称</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内容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策略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客服</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项目全程广告策划</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•市场定位：项目市场定位、消费群体定位</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•功能定位：项目功能定位、自身功能定位</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•形象定位：项目形象定位、目标客户群形象定位</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•推广日常中所涉及的所有文案撰写工作</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VI体系设计: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•名片/信纸/信封/工作证（卡）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•便笺纸、公文纸、笔</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•客户通讯</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•传真纸首页</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•纸杯</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•手袋</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•文件袋/资料袋</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•销售人员工作牌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•认购书/置业计划表/入伙指南</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•购房协议书封套/置业计划封套</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•售楼专车</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年度广告案/月度广告案</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•项目核心传播概念</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•传播与媒介策略的制定</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•项目广告语</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•定位语</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•主题推广语</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•广告策略及创意构想</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•根据项目营销节点设计各阶段推广告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•主面画延展</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全程跟进服务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•实行专案小组制、专人对接、专人服务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•广告成本预算及费用监控</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设计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项目现场包装设计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形象设计：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•工地现场包装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•工地围墙/安全通道包装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•工地广告牌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•现场包装（欢迎标牌/导示牌/立柱挂旗/条幅/招示布/停车场标牌）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销售形象展示：</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•售楼处内部形象概念提示及指导</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•销售中心形象背景牌及接待台</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•销售中心接待区域</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•销售中心展示区域/展板设计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•售楼处POP设计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•区位标示牌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•功能批示牌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•台面标牌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•看楼路线指引牌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外卖场展示：</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•形象背景墙设计、展板设计、挂旗</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•活动相关印刷品设计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•相关礼品建议</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•活动人员服装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•大气球竖幅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•招示布置</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•条幅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样板间包装设计：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•样板房导示牌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•看楼通路氛围布置</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•户型牌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•功能牌（主人房、儿童房、父母房、客房、书房、健身房、洗手间等）</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•免费赠送牌（洁具、橱具等）</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•设计要领介绍</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户外广告类：</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•立柱式广告牌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•车体广告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•候车亭广告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•路牌广告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•灯箱广告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项目全程宣传物料</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•项目招商手册设计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•项目宣传手册设计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•单张、折页设计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•海报</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•DM</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•其他相关推广资料</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媒体广告设计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网络平面广告：</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•长图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•下拉页</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•头图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线上刷屏单图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•价值体系每周刷屏单图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•节日单图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•节气单图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项目活动物料设计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•品牌圈层活动建议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•针对目标客户群的其它促销活动策划</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•活动现场展板</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•现场桁架</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•易拉宝</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•现场导示</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活动宣传单图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互动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纯素材剪辑小视频（15S）</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纯素材剪辑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执行期限</w:t>
            </w:r>
            <w:r>
              <w:rPr>
                <w:rFonts w:hint="default" w:ascii="仿宋_GB2312" w:hAnsi="宋体" w:eastAsia="仿宋_GB2312" w:cs="仿宋_GB2312"/>
                <w:i w:val="0"/>
                <w:iCs w:val="0"/>
                <w:color w:val="000000"/>
                <w:kern w:val="0"/>
                <w:sz w:val="21"/>
                <w:szCs w:val="21"/>
                <w:u w:val="none"/>
                <w:lang w:val="en-US" w:eastAsia="zh-CN" w:bidi="ar"/>
              </w:rPr>
              <w:t>：6个月</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80" w:rightChars="-38"/>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税费6%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含税合计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6"/>
      </w:pPr>
    </w:p>
    <w:p/>
    <w:p>
      <w:pPr>
        <w:spacing w:beforeLines="50" w:afterLines="50"/>
        <w:ind w:left="540" w:leftChars="257" w:firstLine="1890" w:firstLineChars="900"/>
        <w:rPr>
          <w:rFonts w:ascii="宋体" w:hAnsi="宋体" w:cs="宋体"/>
          <w:szCs w:val="21"/>
        </w:rPr>
      </w:pPr>
    </w:p>
    <w:p>
      <w:pPr>
        <w:spacing w:beforeLines="50" w:afterLines="50"/>
        <w:ind w:left="540" w:leftChars="257" w:firstLine="1890" w:firstLineChars="900"/>
        <w:rPr>
          <w:rFonts w:ascii="宋体" w:hAnsi="宋体" w:cs="宋体"/>
          <w:szCs w:val="21"/>
        </w:rPr>
      </w:pPr>
    </w:p>
    <w:p>
      <w:pPr>
        <w:spacing w:beforeLines="50" w:afterLines="50"/>
        <w:ind w:left="540" w:leftChars="257" w:firstLine="1890" w:firstLineChars="900"/>
        <w:rPr>
          <w:rFonts w:ascii="宋体" w:hAnsi="宋体" w:cs="宋体"/>
          <w:szCs w:val="21"/>
        </w:rPr>
      </w:pPr>
    </w:p>
    <w:p>
      <w:pPr>
        <w:spacing w:beforeLines="50" w:afterLines="50"/>
        <w:ind w:left="540" w:leftChars="257" w:firstLine="1890" w:firstLineChars="900"/>
        <w:rPr>
          <w:rFonts w:ascii="宋体" w:hAnsi="宋体" w:cs="宋体"/>
          <w:szCs w:val="21"/>
        </w:rPr>
      </w:pPr>
    </w:p>
    <w:p>
      <w:pPr>
        <w:spacing w:beforeLines="50" w:afterLines="50"/>
        <w:ind w:left="540" w:leftChars="257" w:firstLine="1890" w:firstLineChars="900"/>
        <w:rPr>
          <w:rFonts w:ascii="宋体" w:hAnsi="宋体" w:cs="宋体"/>
          <w:szCs w:val="21"/>
        </w:rPr>
      </w:pPr>
    </w:p>
    <w:p>
      <w:pPr>
        <w:spacing w:beforeLines="50" w:afterLines="50"/>
        <w:ind w:left="540" w:leftChars="257" w:firstLine="1890" w:firstLineChars="900"/>
        <w:rPr>
          <w:rFonts w:ascii="宋体" w:hAnsi="宋体" w:cs="宋体"/>
          <w:szCs w:val="21"/>
        </w:rPr>
      </w:pPr>
    </w:p>
    <w:p>
      <w:r>
        <w:rPr>
          <w:rFonts w:hint="eastAsia" w:ascii="宋体" w:hAnsi="宋体" w:cs="宋体"/>
          <w:szCs w:val="21"/>
        </w:rPr>
        <w:t xml:space="preserve"> </w:t>
      </w:r>
    </w:p>
    <w:p>
      <w:pPr>
        <w:spacing w:line="360" w:lineRule="auto"/>
        <w:jc w:val="left"/>
        <w:rPr>
          <w:rFonts w:ascii="宋体" w:hAnsi="宋体" w:cs="宋体"/>
          <w:color w:val="000000"/>
          <w:kern w:val="0"/>
          <w:sz w:val="28"/>
          <w:szCs w:val="28"/>
        </w:rPr>
      </w:pPr>
    </w:p>
    <w:p>
      <w:pPr>
        <w:pStyle w:val="6"/>
      </w:pPr>
    </w:p>
    <w:p>
      <w:pPr>
        <w:rPr>
          <w:rFonts w:hint="eastAsia" w:hAnsi="宋体" w:cs="宋体"/>
          <w:b/>
          <w:bCs/>
          <w:color w:val="000000"/>
          <w:kern w:val="0"/>
          <w:sz w:val="36"/>
          <w:szCs w:val="36"/>
        </w:rPr>
      </w:pPr>
      <w:r>
        <w:rPr>
          <w:rFonts w:hint="eastAsia" w:hAnsi="宋体" w:cs="宋体"/>
          <w:b/>
          <w:bCs/>
          <w:color w:val="000000"/>
          <w:kern w:val="0"/>
          <w:sz w:val="36"/>
          <w:szCs w:val="36"/>
        </w:rPr>
        <w:br w:type="page"/>
      </w:r>
    </w:p>
    <w:p>
      <w:pPr>
        <w:spacing w:line="360" w:lineRule="auto"/>
        <w:jc w:val="center"/>
        <w:rPr>
          <w:b/>
          <w:bCs/>
          <w:sz w:val="40"/>
          <w:szCs w:val="32"/>
        </w:rPr>
      </w:pPr>
      <w:r>
        <w:rPr>
          <w:rFonts w:hint="eastAsia" w:hAnsi="宋体" w:cs="宋体"/>
          <w:b/>
          <w:bCs/>
          <w:color w:val="000000"/>
          <w:kern w:val="0"/>
          <w:sz w:val="36"/>
          <w:szCs w:val="36"/>
        </w:rPr>
        <w:t>服务团队人员名单</w:t>
      </w:r>
    </w:p>
    <w:p>
      <w:pPr>
        <w:spacing w:line="120" w:lineRule="auto"/>
        <w:jc w:val="left"/>
        <w:rPr>
          <w:rFonts w:ascii="宋体" w:hAnsi="宋体" w:cs="宋体"/>
          <w:color w:val="000000"/>
          <w:szCs w:val="21"/>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400" w:lineRule="exact"/>
        <w:ind w:left="357"/>
        <w:rPr>
          <w:rFonts w:ascii="宋体" w:hAnsi="宋体" w:cs="宋体"/>
          <w:color w:val="000000"/>
          <w:szCs w:val="21"/>
        </w:rPr>
      </w:pPr>
    </w:p>
    <w:p>
      <w:pPr>
        <w:spacing w:line="288" w:lineRule="auto"/>
        <w:rPr>
          <w:rFonts w:ascii="宋体" w:hAnsi="宋体" w:cs="宋体"/>
        </w:rPr>
      </w:pPr>
    </w:p>
    <w:p>
      <w:pPr>
        <w:spacing w:line="520" w:lineRule="exact"/>
        <w:rPr>
          <w:rFonts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br w:type="page"/>
      </w: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附件2：廉政责任书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w:t>
      </w:r>
      <w:r>
        <w:rPr>
          <w:rFonts w:hint="eastAsia" w:ascii="仿宋" w:hAnsi="仿宋" w:eastAsia="仿宋"/>
          <w:color w:val="000000"/>
          <w:sz w:val="28"/>
          <w:szCs w:val="28"/>
          <w:lang w:val="en-US" w:eastAsia="zh-CN"/>
        </w:rPr>
        <w:t>陆</w:t>
      </w:r>
      <w:r>
        <w:rPr>
          <w:rFonts w:hint="eastAsia" w:ascii="仿宋" w:hAnsi="仿宋" w:eastAsia="仿宋"/>
          <w:color w:val="000000"/>
          <w:sz w:val="28"/>
          <w:szCs w:val="28"/>
        </w:rPr>
        <w:t>份，甲方执</w:t>
      </w:r>
      <w:r>
        <w:rPr>
          <w:rFonts w:hint="eastAsia" w:ascii="仿宋" w:hAnsi="仿宋" w:eastAsia="仿宋"/>
          <w:color w:val="000000"/>
          <w:sz w:val="28"/>
          <w:szCs w:val="28"/>
          <w:lang w:val="en-US" w:eastAsia="zh-CN"/>
        </w:rPr>
        <w:t>肆</w:t>
      </w:r>
      <w:r>
        <w:rPr>
          <w:rFonts w:hint="eastAsia" w:ascii="仿宋" w:hAnsi="仿宋" w:eastAsia="仿宋"/>
          <w:color w:val="000000"/>
          <w:sz w:val="28"/>
          <w:szCs w:val="28"/>
        </w:rPr>
        <w:t>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Pr>
        <w:pStyle w:val="4"/>
        <w:spacing w:line="240" w:lineRule="auto"/>
        <w:rPr>
          <w:rFonts w:ascii="仿宋_GB2312" w:eastAsia="仿宋_GB2312"/>
          <w:sz w:val="28"/>
          <w:szCs w:val="28"/>
        </w:rPr>
      </w:pP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
      <w:pPr>
        <w:pStyle w:val="4"/>
        <w:spacing w:line="240" w:lineRule="auto"/>
        <w:jc w:val="center"/>
      </w:pPr>
      <w:r>
        <w:rPr>
          <w:rFonts w:hint="eastAsia" w:ascii="宋体" w:hAnsi="宋体" w:cs="宋体"/>
          <w:color w:val="000000"/>
          <w:kern w:val="0"/>
          <w:sz w:val="28"/>
          <w:szCs w:val="28"/>
        </w:rPr>
        <w:br w:type="page"/>
      </w:r>
      <w:r>
        <w:rPr>
          <w:rFonts w:hint="eastAsia" w:ascii="仿宋_GB2312" w:hAnsi="宋体" w:eastAsia="仿宋_GB2312" w:cs="宋体"/>
        </w:rPr>
        <w:t>五、竞投文件格式（竞投人提交）</w:t>
      </w:r>
    </w:p>
    <w:p>
      <w:pPr>
        <w:rPr>
          <w:rFonts w:ascii="仿宋_GB2312" w:eastAsia="仿宋_GB2312"/>
          <w:sz w:val="24"/>
        </w:rPr>
      </w:pPr>
      <w:r>
        <w:rPr>
          <w:rFonts w:hint="eastAsia" w:ascii="仿宋_GB2312" w:eastAsia="仿宋_GB2312"/>
          <w:sz w:val="24"/>
        </w:rPr>
        <w:t xml:space="preserve">附件1：竞投文件封面  </w:t>
      </w:r>
    </w:p>
    <w:p>
      <w:pPr>
        <w:rPr>
          <w:sz w:val="72"/>
          <w:szCs w:val="72"/>
        </w:rPr>
      </w:pPr>
    </w:p>
    <w:p>
      <w:pPr>
        <w:jc w:val="center"/>
        <w:rPr>
          <w:rFonts w:hint="eastAsia" w:ascii="仿宋_GB2312" w:eastAsia="仿宋_GB2312"/>
          <w:b/>
          <w:sz w:val="56"/>
          <w:szCs w:val="56"/>
        </w:rPr>
      </w:pPr>
      <w:r>
        <w:rPr>
          <w:rFonts w:hint="eastAsia" w:ascii="仿宋_GB2312" w:eastAsia="仿宋_GB2312"/>
          <w:b/>
          <w:sz w:val="56"/>
          <w:szCs w:val="56"/>
        </w:rPr>
        <w:t>城投琶洲中心东塔第二阶段</w:t>
      </w:r>
    </w:p>
    <w:p>
      <w:pPr>
        <w:jc w:val="center"/>
        <w:rPr>
          <w:rFonts w:hint="eastAsia" w:ascii="仿宋_GB2312" w:eastAsia="仿宋_GB2312"/>
          <w:b/>
          <w:sz w:val="56"/>
          <w:szCs w:val="56"/>
        </w:rPr>
      </w:pPr>
      <w:r>
        <w:rPr>
          <w:rFonts w:hint="eastAsia" w:ascii="仿宋_GB2312" w:eastAsia="仿宋_GB2312"/>
          <w:b/>
          <w:sz w:val="56"/>
          <w:szCs w:val="56"/>
        </w:rPr>
        <w:t>广告全案服务项目</w:t>
      </w:r>
    </w:p>
    <w:p>
      <w:pPr>
        <w:jc w:val="center"/>
        <w:rPr>
          <w:rFonts w:ascii="仿宋_GB2312" w:eastAsia="仿宋_GB2312"/>
          <w:b/>
          <w:sz w:val="56"/>
          <w:szCs w:val="56"/>
        </w:rPr>
      </w:pPr>
      <w:r>
        <w:rPr>
          <w:rFonts w:hint="eastAsia" w:ascii="仿宋_GB2312" w:eastAsia="仿宋_GB2312"/>
          <w:b/>
          <w:sz w:val="56"/>
          <w:szCs w:val="56"/>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1600" w:firstLineChars="500"/>
        <w:jc w:val="both"/>
        <w:rPr>
          <w:rFonts w:ascii="仿宋_GB2312" w:eastAsia="仿宋_GB2312"/>
          <w:sz w:val="32"/>
          <w:szCs w:val="32"/>
          <w:u w:val="single"/>
        </w:rPr>
      </w:pPr>
      <w:r>
        <w:rPr>
          <w:rFonts w:hint="eastAsia" w:ascii="仿宋_GB2312" w:eastAsia="仿宋_GB2312"/>
          <w:sz w:val="32"/>
          <w:szCs w:val="32"/>
        </w:rPr>
        <w:t>竞投单位：</w:t>
      </w:r>
    </w:p>
    <w:p>
      <w:pPr>
        <w:ind w:firstLine="1600" w:firstLineChars="500"/>
        <w:jc w:val="both"/>
        <w:rPr>
          <w:rFonts w:ascii="仿宋_GB2312" w:eastAsia="仿宋_GB2312"/>
          <w:sz w:val="32"/>
          <w:szCs w:val="32"/>
        </w:rPr>
      </w:pPr>
      <w:r>
        <w:rPr>
          <w:rFonts w:hint="eastAsia" w:ascii="仿宋_GB2312" w:eastAsia="仿宋_GB2312"/>
          <w:sz w:val="32"/>
          <w:szCs w:val="32"/>
        </w:rPr>
        <w:t>竞投日期：202</w:t>
      </w:r>
      <w:r>
        <w:rPr>
          <w:rFonts w:hint="eastAsia" w:ascii="仿宋_GB2312" w:eastAsia="仿宋_GB2312"/>
          <w:sz w:val="32"/>
          <w:szCs w:val="32"/>
          <w:lang w:val="en-US" w:eastAsia="zh-CN"/>
        </w:rPr>
        <w:t>4</w:t>
      </w:r>
      <w:r>
        <w:rPr>
          <w:rFonts w:hint="eastAsia" w:ascii="仿宋_GB2312" w:eastAsia="仿宋_GB2312"/>
          <w:sz w:val="32"/>
          <w:szCs w:val="32"/>
        </w:rPr>
        <w:t>年  月  日</w:t>
      </w:r>
    </w:p>
    <w:p>
      <w:pPr>
        <w:pStyle w:val="4"/>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4"/>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4"/>
        <w:rPr>
          <w:rFonts w:ascii="仿宋_GB2312" w:hAnsi="宋体" w:eastAsia="仿宋_GB2312"/>
          <w:b w:val="0"/>
          <w:sz w:val="21"/>
          <w:szCs w:val="21"/>
        </w:rPr>
      </w:pPr>
    </w:p>
    <w:p>
      <w:pPr>
        <w:rPr>
          <w:rFonts w:ascii="仿宋_GB2312" w:hAnsi="宋体" w:eastAsia="仿宋_GB2312"/>
          <w:b/>
          <w:szCs w:val="21"/>
        </w:rPr>
      </w:pPr>
    </w:p>
    <w:p>
      <w:pPr>
        <w:keepNext/>
        <w:keepLines/>
        <w:spacing w:before="260" w:after="20" w:line="400" w:lineRule="exact"/>
        <w:outlineLvl w:val="1"/>
        <w:rPr>
          <w:rFonts w:ascii="仿宋_GB2312" w:hAnsi="Arial" w:eastAsia="仿宋_GB2312"/>
          <w:b/>
          <w:bCs/>
          <w:sz w:val="28"/>
          <w:szCs w:val="28"/>
        </w:rPr>
      </w:pPr>
      <w:bookmarkStart w:id="15" w:name="_Toc334797769"/>
      <w:r>
        <w:rPr>
          <w:rFonts w:hint="eastAsia" w:ascii="仿宋_GB2312" w:hAnsi="Arial" w:eastAsia="仿宋_GB2312"/>
          <w:bCs/>
          <w:sz w:val="24"/>
        </w:rPr>
        <w:t>附件3</w:t>
      </w:r>
    </w:p>
    <w:bookmarkEnd w:id="15"/>
    <w:p>
      <w:pPr>
        <w:keepNext/>
        <w:keepLines/>
        <w:spacing w:before="260" w:after="260" w:line="400" w:lineRule="exact"/>
        <w:jc w:val="center"/>
        <w:outlineLvl w:val="1"/>
        <w:rPr>
          <w:rFonts w:ascii="仿宋_GB2312" w:hAnsi="宋体" w:eastAsia="仿宋_GB2312" w:cs="宋体"/>
          <w:sz w:val="32"/>
          <w:szCs w:val="32"/>
        </w:rPr>
      </w:pPr>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rPr>
        <w:t>广州市城壹房地产顾问有限公司</w:t>
      </w:r>
      <w:r>
        <w:rPr>
          <w:rFonts w:hint="eastAsia" w:ascii="仿宋_GB2312" w:hAnsi="宋体" w:eastAsia="仿宋_GB2312"/>
          <w:szCs w:val="21"/>
        </w:rPr>
        <w:tab/>
      </w:r>
    </w:p>
    <w:p>
      <w:pPr>
        <w:spacing w:line="400" w:lineRule="exact"/>
        <w:rPr>
          <w:rFonts w:ascii="仿宋_GB2312" w:hAnsi="宋体" w:eastAsia="仿宋_GB2312"/>
          <w:szCs w:val="21"/>
        </w:rPr>
      </w:pPr>
    </w:p>
    <w:p>
      <w:pPr>
        <w:spacing w:line="400" w:lineRule="exact"/>
        <w:rPr>
          <w:rFonts w:ascii="仿宋_GB2312" w:hAnsi="宋体" w:eastAsia="仿宋_GB2312"/>
          <w:sz w:val="24"/>
        </w:rPr>
      </w:pPr>
      <w:r>
        <w:rPr>
          <w:rFonts w:hint="eastAsia" w:ascii="仿宋_GB2312" w:hAnsi="宋体" w:eastAsia="仿宋_GB2312"/>
          <w:sz w:val="24"/>
        </w:rPr>
        <w:t>本授权证明：</w:t>
      </w:r>
      <w:r>
        <w:rPr>
          <w:rFonts w:hint="eastAsia" w:ascii="仿宋_GB2312" w:hAnsi="宋体" w:eastAsia="仿宋_GB2312"/>
          <w:i/>
          <w:sz w:val="24"/>
          <w:u w:val="single"/>
        </w:rPr>
        <w:t xml:space="preserve">                </w:t>
      </w:r>
      <w:r>
        <w:rPr>
          <w:rFonts w:hint="eastAsia" w:ascii="仿宋_GB2312" w:hAnsi="宋体" w:eastAsia="仿宋_GB2312"/>
          <w:sz w:val="24"/>
        </w:rPr>
        <w:t>是注册于</w:t>
      </w:r>
      <w:r>
        <w:rPr>
          <w:rFonts w:hint="eastAsia" w:ascii="仿宋_GB2312" w:hAnsi="宋体" w:eastAsia="仿宋_GB2312"/>
          <w:i/>
          <w:sz w:val="24"/>
          <w:u w:val="single"/>
        </w:rPr>
        <w:t xml:space="preserve">                         </w:t>
      </w:r>
      <w:r>
        <w:rPr>
          <w:rFonts w:hint="eastAsia" w:ascii="仿宋_GB2312" w:hAnsi="宋体" w:eastAsia="仿宋_GB2312"/>
          <w:sz w:val="24"/>
        </w:rPr>
        <w:t>的</w:t>
      </w:r>
      <w:r>
        <w:rPr>
          <w:rFonts w:hint="eastAsia" w:ascii="仿宋_GB2312" w:hAnsi="宋体" w:eastAsia="仿宋_GB2312"/>
          <w:i/>
          <w:sz w:val="24"/>
          <w:u w:val="single"/>
        </w:rPr>
        <w:t xml:space="preserve">                                </w:t>
      </w:r>
      <w:r>
        <w:rPr>
          <w:rFonts w:hint="eastAsia" w:ascii="仿宋_GB2312" w:hAnsi="宋体" w:eastAsia="仿宋_GB2312"/>
          <w:sz w:val="24"/>
        </w:rPr>
        <w:t>法定代表人，现任</w:t>
      </w:r>
      <w:r>
        <w:rPr>
          <w:rFonts w:hint="eastAsia" w:ascii="仿宋_GB2312" w:hAnsi="宋体" w:eastAsia="仿宋_GB2312"/>
          <w:i/>
          <w:sz w:val="24"/>
          <w:u w:val="single"/>
        </w:rPr>
        <w:t xml:space="preserve">         </w:t>
      </w:r>
      <w:r>
        <w:rPr>
          <w:rFonts w:hint="eastAsia" w:ascii="仿宋_GB2312" w:hAnsi="宋体" w:eastAsia="仿宋_GB2312"/>
          <w:sz w:val="24"/>
        </w:rPr>
        <w:t>。在此授权</w:t>
      </w:r>
      <w:r>
        <w:rPr>
          <w:rFonts w:hint="eastAsia" w:ascii="仿宋_GB2312" w:hAnsi="宋体" w:eastAsia="仿宋_GB2312"/>
          <w:i/>
          <w:sz w:val="24"/>
          <w:u w:val="single"/>
        </w:rPr>
        <w:t xml:space="preserve">                 </w:t>
      </w:r>
      <w:r>
        <w:rPr>
          <w:rFonts w:hint="eastAsia" w:ascii="仿宋_GB2312" w:hAnsi="宋体" w:eastAsia="仿宋_GB2312"/>
          <w:sz w:val="24"/>
        </w:rPr>
        <w:t>作为我公司的全权代理人，在</w:t>
      </w:r>
      <w:r>
        <w:rPr>
          <w:rFonts w:hint="eastAsia" w:ascii="仿宋_GB2312" w:hAnsi="宋体" w:eastAsia="仿宋_GB2312"/>
          <w:sz w:val="24"/>
          <w:u w:val="single"/>
        </w:rPr>
        <w:t xml:space="preserve">         </w:t>
      </w:r>
      <w:r>
        <w:rPr>
          <w:rFonts w:hint="eastAsia" w:ascii="仿宋_GB2312" w:hAnsi="宋体" w:eastAsia="仿宋_GB2312"/>
          <w:sz w:val="24"/>
        </w:rPr>
        <w:t>的竞投及其合同执行过程中，以我公司的名义处理一切与之有关的事务。</w:t>
      </w:r>
    </w:p>
    <w:p>
      <w:pPr>
        <w:spacing w:line="400" w:lineRule="exact"/>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日起签字生效，特此声明。</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 xml:space="preserve">竞投人全称（公章）：                   </w:t>
      </w:r>
    </w:p>
    <w:p>
      <w:pPr>
        <w:spacing w:line="400" w:lineRule="exact"/>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b/>
          <w:bCs/>
          <w:sz w:val="24"/>
        </w:rPr>
        <w:t>签字</w:t>
      </w:r>
      <w:r>
        <w:rPr>
          <w:rFonts w:hint="eastAsia" w:ascii="仿宋_GB2312" w:hAnsi="宋体" w:eastAsia="仿宋_GB2312"/>
          <w:sz w:val="24"/>
        </w:rPr>
        <w:t xml:space="preserve">）：        </w:t>
      </w:r>
    </w:p>
    <w:p>
      <w:pPr>
        <w:spacing w:line="400" w:lineRule="exact"/>
        <w:rPr>
          <w:rFonts w:ascii="仿宋_GB2312" w:hAnsi="宋体" w:eastAsia="仿宋_GB2312"/>
          <w:sz w:val="24"/>
        </w:rPr>
      </w:pPr>
      <w:r>
        <w:rPr>
          <w:rFonts w:hint="eastAsia" w:ascii="仿宋_GB2312" w:hAnsi="宋体" w:eastAsia="仿宋_GB2312"/>
          <w:sz w:val="24"/>
        </w:rPr>
        <w:t>被授权人(竞投人授权代表)（</w:t>
      </w:r>
      <w:r>
        <w:rPr>
          <w:rFonts w:hint="eastAsia" w:ascii="仿宋_GB2312" w:hAnsi="宋体" w:eastAsia="仿宋_GB2312"/>
          <w:b/>
          <w:bCs/>
          <w:sz w:val="24"/>
        </w:rPr>
        <w:t>签字</w:t>
      </w:r>
      <w:r>
        <w:rPr>
          <w:rFonts w:hint="eastAsia" w:ascii="仿宋_GB2312" w:hAnsi="宋体" w:eastAsia="仿宋_GB2312"/>
          <w:sz w:val="24"/>
        </w:rPr>
        <w:t>）：</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400" w:lineRule="exact"/>
              <w:jc w:val="center"/>
              <w:rPr>
                <w:rFonts w:ascii="仿宋_GB2312" w:hAnsi="宋体" w:eastAsia="仿宋_GB2312"/>
                <w:b/>
                <w:szCs w:val="21"/>
              </w:rPr>
            </w:pPr>
            <w:r>
              <w:rPr>
                <w:rFonts w:hint="eastAsia" w:ascii="仿宋_GB2312" w:hAnsi="宋体" w:eastAsia="仿宋_GB2312"/>
                <w:b/>
                <w:szCs w:val="21"/>
              </w:rPr>
              <w:t>居民身份证复印件（盖章）</w:t>
            </w:r>
          </w:p>
          <w:p>
            <w:pPr>
              <w:spacing w:line="400" w:lineRule="exact"/>
              <w:jc w:val="center"/>
              <w:rPr>
                <w:rFonts w:ascii="仿宋_GB2312" w:hAnsi="宋体" w:eastAsia="仿宋_GB2312"/>
                <w:szCs w:val="21"/>
              </w:rPr>
            </w:pPr>
            <w:r>
              <w:rPr>
                <w:rFonts w:hint="eastAsia" w:ascii="仿宋_GB2312" w:hAnsi="宋体" w:eastAsia="仿宋_GB2312"/>
                <w:b/>
                <w:szCs w:val="21"/>
              </w:rPr>
              <w:t>粘贴处</w:t>
            </w:r>
          </w:p>
        </w:tc>
      </w:tr>
    </w:tbl>
    <w:p>
      <w:pPr>
        <w:keepNext/>
        <w:keepLines/>
        <w:spacing w:before="260" w:after="260" w:line="400" w:lineRule="exact"/>
        <w:outlineLvl w:val="1"/>
        <w:rPr>
          <w:rFonts w:ascii="仿宋_GB2312" w:hAnsi="Arial" w:eastAsia="仿宋_GB2312"/>
          <w:b/>
          <w:bCs/>
          <w:szCs w:val="21"/>
        </w:rPr>
      </w:pPr>
      <w:r>
        <w:rPr>
          <w:rFonts w:hint="eastAsia" w:ascii="仿宋_GB2312" w:hAnsi="Arial" w:eastAsia="仿宋_GB2312"/>
          <w:bCs/>
          <w:sz w:val="24"/>
        </w:rPr>
        <w:t>附件4</w:t>
      </w:r>
      <w:r>
        <w:rPr>
          <w:rFonts w:ascii="仿宋_GB2312" w:hAnsi="Arial" w:eastAsia="仿宋_GB2312"/>
          <w:b/>
          <w:bCs/>
          <w:szCs w:val="21"/>
        </w:rPr>
        <w:t xml:space="preserve"> </w:t>
      </w:r>
    </w:p>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13"/>
        <w:tblW w:w="0" w:type="auto"/>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序号</w:t>
            </w:r>
          </w:p>
        </w:tc>
        <w:tc>
          <w:tcPr>
            <w:tcW w:w="3911" w:type="dxa"/>
            <w:vAlign w:val="center"/>
          </w:tcPr>
          <w:p>
            <w:pPr>
              <w:jc w:val="center"/>
              <w:rPr>
                <w:rFonts w:ascii="Calibri" w:hAnsi="Calibri"/>
              </w:rPr>
            </w:pPr>
            <w:r>
              <w:rPr>
                <w:rFonts w:hint="eastAsia" w:ascii="Calibri" w:hAnsi="Calibri"/>
              </w:rPr>
              <w:t>报价内容</w:t>
            </w:r>
          </w:p>
        </w:tc>
        <w:tc>
          <w:tcPr>
            <w:tcW w:w="2365" w:type="dxa"/>
            <w:vAlign w:val="center"/>
          </w:tcPr>
          <w:p>
            <w:pPr>
              <w:jc w:val="center"/>
              <w:rPr>
                <w:rFonts w:ascii="Calibri" w:hAnsi="Calibri"/>
              </w:rPr>
            </w:pPr>
            <w:r>
              <w:rPr>
                <w:rFonts w:hint="eastAsia" w:ascii="Calibri" w:hAnsi="Calibri"/>
              </w:rPr>
              <w:t>报价金额</w:t>
            </w:r>
          </w:p>
        </w:tc>
        <w:tc>
          <w:tcPr>
            <w:tcW w:w="2365" w:type="dxa"/>
            <w:vAlign w:val="center"/>
          </w:tcPr>
          <w:p>
            <w:pPr>
              <w:jc w:val="center"/>
              <w:rPr>
                <w:rFonts w:ascii="Calibri" w:hAnsi="Calibri"/>
              </w:rPr>
            </w:pPr>
            <w:r>
              <w:rPr>
                <w:rFonts w:hint="eastAsia" w:ascii="Calibri" w:hAnsi="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1</w:t>
            </w:r>
          </w:p>
        </w:tc>
        <w:tc>
          <w:tcPr>
            <w:tcW w:w="3911" w:type="dxa"/>
            <w:vAlign w:val="center"/>
          </w:tcPr>
          <w:p>
            <w:pPr>
              <w:rPr>
                <w:rFonts w:ascii="Calibri" w:hAnsi="Calibri"/>
              </w:rPr>
            </w:pPr>
            <w:r>
              <w:rPr>
                <w:rFonts w:hint="eastAsia" w:ascii="Calibri" w:hAnsi="Calibri"/>
              </w:rPr>
              <w:t>竞投总报价（含税）</w:t>
            </w:r>
          </w:p>
        </w:tc>
        <w:tc>
          <w:tcPr>
            <w:tcW w:w="2365" w:type="dxa"/>
            <w:vAlign w:val="center"/>
          </w:tcPr>
          <w:p>
            <w:pPr>
              <w:rPr>
                <w:rFonts w:ascii="Calibri" w:hAnsi="Calibri"/>
              </w:rPr>
            </w:pPr>
          </w:p>
        </w:tc>
        <w:tc>
          <w:tcPr>
            <w:tcW w:w="2365" w:type="dxa"/>
            <w:vAlign w:val="center"/>
          </w:tcPr>
          <w:p>
            <w:pPr>
              <w:rPr>
                <w:rFonts w:ascii="Calibri" w:hAnsi="Calibri"/>
              </w:rPr>
            </w:pPr>
            <w:r>
              <w:rPr>
                <w:rFonts w:hint="eastAsia" w:ascii="Calibri" w:hAnsi="Calibri"/>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2</w:t>
            </w:r>
          </w:p>
        </w:tc>
        <w:tc>
          <w:tcPr>
            <w:tcW w:w="3911" w:type="dxa"/>
            <w:vAlign w:val="center"/>
          </w:tcPr>
          <w:p>
            <w:pPr>
              <w:rPr>
                <w:rFonts w:ascii="Calibri" w:hAnsi="Calibri"/>
              </w:rPr>
            </w:pPr>
            <w:r>
              <w:rPr>
                <w:rFonts w:hint="eastAsia" w:ascii="Calibri" w:hAnsi="Calibri"/>
              </w:rPr>
              <w:t>不含税报价</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3</w:t>
            </w:r>
          </w:p>
        </w:tc>
        <w:tc>
          <w:tcPr>
            <w:tcW w:w="3911" w:type="dxa"/>
            <w:vAlign w:val="center"/>
          </w:tcPr>
          <w:p>
            <w:pPr>
              <w:rPr>
                <w:rFonts w:ascii="Calibri" w:hAnsi="Calibri"/>
              </w:rPr>
            </w:pPr>
            <w:r>
              <w:rPr>
                <w:rFonts w:hint="eastAsia" w:ascii="Calibri" w:hAnsi="Calibri"/>
              </w:rPr>
              <w:t>增值税费</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4</w:t>
            </w:r>
          </w:p>
        </w:tc>
        <w:tc>
          <w:tcPr>
            <w:tcW w:w="3911" w:type="dxa"/>
            <w:vAlign w:val="center"/>
          </w:tcPr>
          <w:p>
            <w:pPr>
              <w:rPr>
                <w:rFonts w:ascii="Calibri" w:hAnsi="Calibri"/>
              </w:rPr>
            </w:pPr>
            <w:r>
              <w:rPr>
                <w:rFonts w:hint="eastAsia" w:ascii="Calibri" w:hAnsi="Calibri"/>
              </w:rPr>
              <w:t>增值税专用发票税率（6%）</w:t>
            </w:r>
          </w:p>
        </w:tc>
        <w:tc>
          <w:tcPr>
            <w:tcW w:w="2365" w:type="dxa"/>
            <w:vAlign w:val="center"/>
          </w:tcPr>
          <w:p>
            <w:pPr>
              <w:rPr>
                <w:rFonts w:ascii="Calibri" w:hAnsi="Calibri"/>
              </w:rPr>
            </w:pPr>
          </w:p>
        </w:tc>
        <w:tc>
          <w:tcPr>
            <w:tcW w:w="2365" w:type="dxa"/>
            <w:vAlign w:val="center"/>
          </w:tcPr>
          <w:p>
            <w:pPr>
              <w:rPr>
                <w:rFonts w:ascii="Calibri" w:hAnsi="Calibri"/>
              </w:rPr>
            </w:pPr>
          </w:p>
        </w:tc>
      </w:tr>
    </w:tbl>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0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rPr>
          <w:rFonts w:ascii="仿宋_GB2312" w:hAnsi="宋体" w:eastAsia="仿宋_GB2312"/>
          <w:bCs/>
          <w:szCs w:val="21"/>
        </w:rPr>
      </w:pPr>
      <w:r>
        <w:rPr>
          <w:rFonts w:hint="eastAsia" w:ascii="仿宋_GB2312" w:hAnsi="宋体" w:eastAsia="仿宋_GB2312"/>
          <w:bCs/>
          <w:szCs w:val="21"/>
        </w:rPr>
        <w:t>日    期：         年      月     日</w:t>
      </w:r>
    </w:p>
    <w:p>
      <w:pPr>
        <w:spacing w:line="400" w:lineRule="exact"/>
        <w:rPr>
          <w:rFonts w:ascii="Calibri" w:hAnsi="Calibri"/>
        </w:rPr>
      </w:pPr>
    </w:p>
    <w:p>
      <w:pPr>
        <w:rPr>
          <w:rFonts w:hint="eastAsia" w:ascii="仿宋_GB2312" w:eastAsia="仿宋_GB2312"/>
          <w:b w:val="0"/>
          <w:sz w:val="24"/>
          <w:szCs w:val="24"/>
        </w:rPr>
      </w:pPr>
      <w:r>
        <w:rPr>
          <w:rFonts w:hint="eastAsia" w:ascii="仿宋_GB2312" w:eastAsia="仿宋_GB2312"/>
          <w:b w:val="0"/>
          <w:sz w:val="24"/>
          <w:szCs w:val="24"/>
        </w:rPr>
        <w:br w:type="page"/>
      </w:r>
    </w:p>
    <w:p>
      <w:pPr>
        <w:pStyle w:val="4"/>
        <w:rPr>
          <w:rFonts w:ascii="仿宋_GB2312" w:eastAsia="仿宋_GB2312"/>
          <w:sz w:val="21"/>
          <w:szCs w:val="21"/>
        </w:rPr>
      </w:pPr>
      <w:r>
        <w:rPr>
          <w:rFonts w:hint="eastAsia" w:ascii="仿宋_GB2312" w:eastAsia="仿宋_GB2312"/>
          <w:b w:val="0"/>
          <w:sz w:val="24"/>
          <w:szCs w:val="24"/>
        </w:rPr>
        <w:t>附件5</w:t>
      </w:r>
    </w:p>
    <w:p>
      <w:pPr>
        <w:keepNext/>
        <w:keepLines/>
        <w:spacing w:before="260" w:after="260" w:line="400" w:lineRule="exact"/>
        <w:jc w:val="center"/>
        <w:outlineLvl w:val="1"/>
        <w:rPr>
          <w:rFonts w:hint="eastAsia" w:ascii="仿宋_GB2312" w:hAnsi="宋体" w:eastAsia="仿宋_GB2312" w:cs="宋体"/>
          <w:b/>
          <w:bCs/>
          <w:sz w:val="32"/>
          <w:szCs w:val="32"/>
        </w:rPr>
      </w:pPr>
      <w:r>
        <w:rPr>
          <w:rFonts w:hint="eastAsia" w:ascii="仿宋_GB2312" w:hAnsi="宋体" w:eastAsia="仿宋_GB2312" w:cs="宋体"/>
          <w:b/>
          <w:bCs/>
          <w:sz w:val="32"/>
          <w:szCs w:val="32"/>
        </w:rPr>
        <w:t>竞投报价执行清单</w:t>
      </w:r>
    </w:p>
    <w:p>
      <w:pPr>
        <w:rPr>
          <w:rFonts w:hint="eastAsia"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：城投琶洲中心东塔第二阶段广告全案服务项目</w:t>
      </w:r>
    </w:p>
    <w:p>
      <w:pPr>
        <w:rPr>
          <w:rFonts w:hint="eastAsia" w:ascii="仿宋_GB2312" w:hAnsi="宋体" w:eastAsia="仿宋_GB2312" w:cs="Tahoma"/>
          <w:kern w:val="28"/>
          <w:szCs w:val="21"/>
        </w:rPr>
      </w:pPr>
    </w:p>
    <w:tbl>
      <w:tblPr>
        <w:tblStyle w:val="13"/>
        <w:tblW w:w="829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690"/>
        <w:gridCol w:w="765"/>
        <w:gridCol w:w="930"/>
        <w:gridCol w:w="399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详情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类别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名称</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内容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策略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客服</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项目全程广告策划</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•市场定位：项目市场定位、消费群体定位</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•功能定位：项目功能定位、自身功能定位</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•形象定位：项目形象定位、目标客户群形象定位</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•推广日常中所涉及的所有文案撰写工作</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VI体系设计: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•名片/信纸/信封/工作证（卡）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•便笺纸、公文纸、笔</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•客户通讯</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•传真纸首页</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•纸杯</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•手袋</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•文件袋/资料袋</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•销售人员工作牌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•认购书/置业计划表/入伙指南</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•购房协议书封套/置业计划封套</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•售楼专车</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年度广告案/月度广告案</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•项目核心传播概念</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•传播与媒介策略的制定</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•项目广告语</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•定位语</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•主题推广语</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•广告策略及创意构想</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•根据项目营销节点设计各阶段推广告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•主面画延展</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全程跟进服务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•实行专案小组制、专人对接、专人服务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•广告成本预算及费用监控</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设计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项目现场包装设计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形象设计：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•工地现场包装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•工地围墙/安全通道包装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•工地广告牌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•现场包装（欢迎标牌/导示牌/立柱挂旗/条幅/招示布/停车场标牌）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销售形象展示：</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•售楼处内部形象概念提示及指导</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•销售中心形象背景牌及接待台</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•销售中心接待区域</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•销售中心展示区域/展板设计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•售楼处POP设计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•区位标示牌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•功能批示牌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•台面标牌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•看楼路线指引牌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外卖场展示：</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•形象背景墙设计、展板设计、挂旗</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•活动相关印刷品设计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•相关礼品建议</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•活动人员服装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•大气球竖幅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•招示布置</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•条幅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样板间包装设计：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•样板房导示牌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•看楼通路氛围布置</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•户型牌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•功能牌（主人房、儿童房、父母房、客房、书房、健身房、洗手间等）</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•免费赠送牌（洁具、橱具等）</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•设计要领介绍</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户外广告类：</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•立柱式广告牌</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•车体广告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•候车亭广告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•路牌广告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•灯箱广告</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项目全程宣传物料</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•项目招商手册设计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•项目宣传手册设计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•单张、折页设计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•海报</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•DM</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•其他相关推广资料</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媒体广告设计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网络平面广告：</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•长图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•下拉页</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•头图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线上刷屏单图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•价值体系每周刷屏单图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•节日单图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•节气单图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项目活动物料设计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•品牌圈层活动建议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•针对目标客户群的其它促销活动策划</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•活动现场展板</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•现场桁架</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•易拉宝</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•现场导示</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活动宣传单图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互动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纯素材剪辑小视频（15S）</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纯素材剪辑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执行期限</w:t>
            </w:r>
            <w:r>
              <w:rPr>
                <w:rFonts w:hint="default" w:ascii="仿宋_GB2312" w:hAnsi="宋体" w:eastAsia="仿宋_GB2312" w:cs="仿宋_GB2312"/>
                <w:i w:val="0"/>
                <w:iCs w:val="0"/>
                <w:color w:val="000000"/>
                <w:kern w:val="0"/>
                <w:sz w:val="21"/>
                <w:szCs w:val="21"/>
                <w:u w:val="none"/>
                <w:lang w:val="en-US" w:eastAsia="zh-CN" w:bidi="ar"/>
              </w:rPr>
              <w:t>：6个月</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80" w:rightChars="-38"/>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税费6%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rPr>
            </w:pP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含税合计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rPr>
          <w:rFonts w:ascii="仿宋_GB2312" w:hAnsi="仿宋_GB2312" w:eastAsia="仿宋_GB2312" w:cs="仿宋_GB2312"/>
          <w:b/>
          <w:bCs/>
          <w:szCs w:val="21"/>
          <w:highlight w:val="yellow"/>
        </w:rPr>
      </w:pP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keepNext/>
        <w:keepLines/>
        <w:spacing w:before="260" w:after="260" w:line="400" w:lineRule="exact"/>
        <w:outlineLvl w:val="1"/>
        <w:rPr>
          <w:rFonts w:ascii="仿宋_GB2312" w:hAnsi="Arial" w:eastAsia="仿宋_GB2312"/>
          <w:bCs/>
          <w:sz w:val="24"/>
          <w:szCs w:val="32"/>
        </w:rPr>
      </w:pPr>
      <w:r>
        <w:rPr>
          <w:rFonts w:hint="eastAsia" w:ascii="仿宋_GB2312" w:hAnsi="Arial" w:eastAsia="仿宋_GB2312"/>
          <w:bCs/>
          <w:sz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sz w:val="24"/>
        </w:rPr>
      </w:pP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广州市城壹房地产顾问有限公司：</w:t>
      </w:r>
    </w:p>
    <w:p>
      <w:pPr>
        <w:widowControl/>
        <w:tabs>
          <w:tab w:val="left" w:pos="7380"/>
        </w:tabs>
        <w:spacing w:line="480" w:lineRule="atLeast"/>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关于贵方</w:t>
      </w:r>
      <w:r>
        <w:rPr>
          <w:rFonts w:hint="eastAsia" w:ascii="仿宋_GB2312" w:hAnsi="宋体" w:eastAsia="仿宋_GB2312"/>
          <w:szCs w:val="21"/>
          <w:u w:val="single"/>
        </w:rPr>
        <w:t xml:space="preserve">                </w:t>
      </w:r>
      <w:r>
        <w:rPr>
          <w:rFonts w:hint="eastAsia" w:ascii="仿宋_GB2312" w:hAnsi="宋体" w:eastAsia="仿宋_GB2312"/>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szCs w:val="21"/>
        </w:rPr>
      </w:pPr>
    </w:p>
    <w:p>
      <w:pPr>
        <w:tabs>
          <w:tab w:val="left" w:pos="7380"/>
        </w:tabs>
        <w:spacing w:line="300" w:lineRule="auto"/>
        <w:rPr>
          <w:rFonts w:ascii="仿宋_GB2312" w:hAnsi="宋体" w:eastAsia="仿宋_GB2312"/>
          <w:szCs w:val="21"/>
        </w:rPr>
      </w:pPr>
      <w:r>
        <w:rPr>
          <w:rFonts w:hint="eastAsia" w:ascii="仿宋_GB2312" w:hAnsi="宋体" w:eastAsia="仿宋_GB2312"/>
          <w:szCs w:val="21"/>
        </w:rPr>
        <w:t>承诺：</w:t>
      </w:r>
    </w:p>
    <w:p>
      <w:pPr>
        <w:spacing w:line="480" w:lineRule="exact"/>
        <w:rPr>
          <w:rFonts w:ascii="仿宋_GB2312" w:hAnsi="宋体" w:eastAsia="仿宋_GB2312"/>
          <w:szCs w:val="21"/>
        </w:rPr>
      </w:pPr>
      <w:r>
        <w:rPr>
          <w:rFonts w:hint="eastAsia" w:ascii="仿宋_GB2312" w:hAnsi="宋体" w:eastAsia="仿宋_GB2312"/>
          <w:szCs w:val="21"/>
        </w:rPr>
        <w:t>1）我司没有被责令停业或破产状态的；</w:t>
      </w:r>
    </w:p>
    <w:p>
      <w:pPr>
        <w:spacing w:line="480" w:lineRule="exact"/>
        <w:rPr>
          <w:rFonts w:ascii="仿宋_GB2312" w:hAnsi="宋体" w:eastAsia="仿宋_GB2312"/>
          <w:szCs w:val="21"/>
        </w:rPr>
      </w:pPr>
      <w:r>
        <w:rPr>
          <w:rFonts w:hint="eastAsia" w:ascii="仿宋_GB2312" w:hAnsi="宋体" w:eastAsia="仿宋_GB2312"/>
          <w:szCs w:val="21"/>
        </w:rPr>
        <w:t>2）我司没有被暂停或取消竞投资格的；</w:t>
      </w:r>
    </w:p>
    <w:p>
      <w:pPr>
        <w:spacing w:line="480" w:lineRule="exact"/>
        <w:rPr>
          <w:rFonts w:ascii="仿宋_GB2312" w:hAnsi="宋体" w:eastAsia="仿宋_GB2312"/>
          <w:szCs w:val="21"/>
        </w:rPr>
      </w:pPr>
      <w:r>
        <w:rPr>
          <w:rFonts w:hint="eastAsia" w:ascii="仿宋_GB2312" w:hAnsi="宋体" w:eastAsia="仿宋_GB2312"/>
          <w:szCs w:val="21"/>
        </w:rPr>
        <w:t>3）我司没有财产被重组、接管、查封、扣押或冻结的；</w:t>
      </w:r>
    </w:p>
    <w:p>
      <w:pPr>
        <w:spacing w:line="480" w:lineRule="exact"/>
        <w:rPr>
          <w:rFonts w:ascii="仿宋_GB2312" w:hAnsi="宋体" w:eastAsia="仿宋_GB2312"/>
          <w:szCs w:val="21"/>
        </w:rPr>
      </w:pPr>
      <w:r>
        <w:rPr>
          <w:rFonts w:hint="eastAsia" w:ascii="仿宋_GB2312" w:hAnsi="宋体" w:eastAsia="仿宋_GB2312"/>
          <w:szCs w:val="21"/>
        </w:rPr>
        <w:t>4）我司没有在营业期间有骗取中标或严重违约的；</w:t>
      </w:r>
    </w:p>
    <w:p>
      <w:pPr>
        <w:spacing w:line="480" w:lineRule="exact"/>
        <w:rPr>
          <w:rFonts w:ascii="仿宋_GB2312" w:hAnsi="宋体" w:eastAsia="仿宋_GB2312"/>
          <w:szCs w:val="21"/>
        </w:rPr>
      </w:pPr>
      <w:r>
        <w:rPr>
          <w:rFonts w:hint="eastAsia" w:ascii="仿宋_GB2312" w:hAnsi="宋体" w:eastAsia="仿宋_GB2312"/>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szCs w:val="21"/>
        </w:rPr>
      </w:pPr>
    </w:p>
    <w:p>
      <w:pPr>
        <w:spacing w:line="300" w:lineRule="auto"/>
        <w:rPr>
          <w:rFonts w:ascii="仿宋_GB2312" w:hAnsi="宋体" w:eastAsia="仿宋_GB2312"/>
          <w:szCs w:val="21"/>
        </w:rPr>
      </w:pPr>
      <w:r>
        <w:rPr>
          <w:rFonts w:hint="eastAsia" w:ascii="仿宋_GB2312" w:hAnsi="宋体" w:eastAsia="仿宋_GB2312"/>
          <w:szCs w:val="21"/>
        </w:rPr>
        <w:t>竞投人名称:</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00" w:lineRule="auto"/>
        <w:rPr>
          <w:rFonts w:ascii="仿宋_GB2312" w:hAnsi="宋体" w:eastAsia="仿宋_GB2312"/>
          <w:szCs w:val="21"/>
        </w:rPr>
      </w:pPr>
    </w:p>
    <w:p>
      <w:pPr>
        <w:spacing w:line="300" w:lineRule="auto"/>
        <w:rPr>
          <w:rFonts w:ascii="仿宋_GB2312" w:hAnsi="宋体" w:eastAsia="仿宋_GB2312"/>
          <w:szCs w:val="21"/>
          <w:u w:val="single"/>
        </w:rPr>
      </w:pPr>
      <w:r>
        <w:rPr>
          <w:rFonts w:hint="eastAsia" w:ascii="仿宋_GB2312" w:hAnsi="宋体" w:eastAsia="仿宋_GB2312"/>
        </w:rPr>
        <w:t>竞投人授权代表签字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300" w:lineRule="auto"/>
        <w:rPr>
          <w:rFonts w:ascii="仿宋_GB2312" w:hAnsi="宋体" w:eastAsia="仿宋_GB2312"/>
          <w:szCs w:val="21"/>
          <w:u w:val="single"/>
        </w:rPr>
      </w:pPr>
    </w:p>
    <w:p>
      <w:pPr>
        <w:spacing w:line="300" w:lineRule="auto"/>
        <w:rPr>
          <w:rFonts w:ascii="仿宋_GB2312" w:hAnsi="宋体" w:eastAsia="仿宋_GB2312"/>
          <w:szCs w:val="21"/>
        </w:rPr>
      </w:pPr>
      <w:r>
        <w:rPr>
          <w:rFonts w:hint="eastAsia" w:ascii="仿宋_GB2312" w:hAnsi="宋体" w:eastAsia="仿宋_GB2312"/>
          <w:szCs w:val="21"/>
        </w:rPr>
        <w:t>日期：  年   月   日</w:t>
      </w:r>
    </w:p>
    <w:p>
      <w:pPr>
        <w:spacing w:line="300" w:lineRule="auto"/>
        <w:rPr>
          <w:rFonts w:ascii="宋体" w:hAnsi="宋体"/>
          <w:sz w:val="24"/>
        </w:rPr>
      </w:pPr>
    </w:p>
    <w:p>
      <w:pPr>
        <w:rPr>
          <w:rFonts w:ascii="仿宋_GB2312" w:eastAsia="仿宋_GB2312"/>
          <w:szCs w:val="21"/>
        </w:rPr>
      </w:pPr>
      <w:r>
        <w:rPr>
          <w:rFonts w:ascii="宋体" w:hAnsi="宋体" w:eastAsia="黑体"/>
          <w:b/>
          <w:bCs/>
          <w:sz w:val="24"/>
          <w:szCs w:val="32"/>
        </w:rPr>
        <w:br w:type="page"/>
      </w:r>
      <w:r>
        <w:rPr>
          <w:rFonts w:hint="eastAsia" w:ascii="仿宋_GB2312" w:eastAsia="仿宋_GB2312"/>
          <w:sz w:val="24"/>
        </w:rPr>
        <w:t>附件7：其他资料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keepNext/>
        <w:keepLines/>
        <w:spacing w:before="260" w:after="260" w:line="400" w:lineRule="exact"/>
        <w:jc w:val="center"/>
        <w:outlineLvl w:val="1"/>
        <w:rPr>
          <w:rFonts w:ascii="宋体" w:hAnsi="宋体" w:eastAsia="黑体"/>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b/>
          <w:bCs/>
          <w:sz w:val="28"/>
          <w:szCs w:val="28"/>
        </w:rPr>
      </w:pPr>
    </w:p>
    <w:tbl>
      <w:tblPr>
        <w:tblStyle w:val="13"/>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rPr>
            </w:pPr>
            <w:r>
              <w:rPr>
                <w:rFonts w:hint="eastAsia" w:ascii="仿宋_GB2312" w:hAnsi="宋体" w:eastAsia="仿宋_GB2312" w:cs="Arial"/>
                <w:sz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r>
    </w:tbl>
    <w:p>
      <w:pPr>
        <w:spacing w:line="400" w:lineRule="exact"/>
        <w:rPr>
          <w:rFonts w:ascii="仿宋_GB2312" w:hAnsi="宋体" w:eastAsia="仿宋_GB2312"/>
        </w:rPr>
      </w:pPr>
      <w:r>
        <w:rPr>
          <w:rFonts w:hint="eastAsia" w:ascii="仿宋_GB2312" w:hAnsi="宋体" w:eastAsia="仿宋_GB2312"/>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r>
        <w:rPr>
          <w:rFonts w:hint="eastAsia" w:ascii="仿宋" w:hAnsi="仿宋" w:eastAsia="仿宋"/>
          <w:szCs w:val="21"/>
        </w:rPr>
        <w:t>竞投</w:t>
      </w:r>
      <w:r>
        <w:rPr>
          <w:rFonts w:hint="eastAsia" w:ascii="仿宋_GB2312" w:hAnsi="宋体" w:eastAsia="仿宋_GB2312"/>
          <w:szCs w:val="21"/>
        </w:rPr>
        <w:t xml:space="preserve">人名称: </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400" w:lineRule="exact"/>
        <w:rPr>
          <w:rFonts w:ascii="仿宋_GB2312" w:hAnsi="宋体" w:eastAsia="仿宋_GB2312"/>
          <w:szCs w:val="21"/>
        </w:rPr>
      </w:pPr>
    </w:p>
    <w:p>
      <w:pPr>
        <w:spacing w:line="400" w:lineRule="exact"/>
        <w:rPr>
          <w:rFonts w:ascii="仿宋_GB2312" w:hAnsi="宋体" w:eastAsia="仿宋_GB2312"/>
          <w:szCs w:val="21"/>
          <w:u w:val="single"/>
        </w:rPr>
      </w:pPr>
      <w:r>
        <w:rPr>
          <w:rFonts w:hint="eastAsia" w:ascii="仿宋" w:hAnsi="仿宋" w:eastAsia="仿宋"/>
          <w:szCs w:val="21"/>
        </w:rPr>
        <w:t>竞投</w:t>
      </w:r>
      <w:r>
        <w:rPr>
          <w:rFonts w:hint="eastAsia" w:ascii="仿宋_GB2312" w:hAnsi="宋体" w:eastAsia="仿宋_GB2312"/>
        </w:rPr>
        <w:t>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400" w:lineRule="exact"/>
        <w:rPr>
          <w:rFonts w:ascii="仿宋_GB2312" w:hAnsi="宋体" w:eastAsia="仿宋_GB2312"/>
          <w:szCs w:val="21"/>
          <w:u w:val="single"/>
        </w:rPr>
      </w:pPr>
    </w:p>
    <w:p>
      <w:pPr>
        <w:spacing w:line="400" w:lineRule="exact"/>
        <w:rPr>
          <w:rFonts w:ascii="仿宋_GB2312" w:hAnsi="宋体" w:eastAsia="仿宋_GB2312"/>
        </w:rPr>
      </w:pPr>
      <w:r>
        <w:rPr>
          <w:rFonts w:hint="eastAsia" w:ascii="仿宋_GB2312" w:hAnsi="宋体" w:eastAsia="仿宋_GB2312"/>
        </w:rPr>
        <w:t>日期：  年   月   日</w:t>
      </w:r>
    </w:p>
    <w:p>
      <w:pPr>
        <w:spacing w:line="400" w:lineRule="exact"/>
        <w:rPr>
          <w:rFonts w:ascii="宋体" w:hAnsi="宋体"/>
        </w:rPr>
      </w:pPr>
    </w:p>
    <w:p>
      <w:pPr>
        <w:widowControl/>
        <w:spacing w:before="120" w:after="120" w:line="440" w:lineRule="exact"/>
        <w:rPr>
          <w:rFonts w:ascii="仿宋_GB2312" w:eastAsia="仿宋_GB2312"/>
          <w:b/>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44450"/>
    <w:multiLevelType w:val="singleLevel"/>
    <w:tmpl w:val="BFD44450"/>
    <w:lvl w:ilvl="0" w:tentative="0">
      <w:start w:val="1"/>
      <w:numFmt w:val="bullet"/>
      <w:lvlText w:val=""/>
      <w:lvlJc w:val="left"/>
      <w:pPr>
        <w:ind w:left="420" w:hanging="420"/>
      </w:pPr>
      <w:rPr>
        <w:rFonts w:hint="default" w:ascii="Wingdings" w:hAnsi="Wingdings"/>
      </w:rPr>
    </w:lvl>
  </w:abstractNum>
  <w:abstractNum w:abstractNumId="1">
    <w:nsid w:val="19C24A92"/>
    <w:multiLevelType w:val="multilevel"/>
    <w:tmpl w:val="19C24A92"/>
    <w:lvl w:ilvl="0" w:tentative="0">
      <w:start w:val="1"/>
      <w:numFmt w:val="decimal"/>
      <w:lvlText w:val="%1)"/>
      <w:lvlJc w:val="left"/>
      <w:pPr>
        <w:tabs>
          <w:tab w:val="left" w:pos="420"/>
        </w:tabs>
        <w:ind w:left="420" w:hanging="420"/>
      </w:pPr>
    </w:lvl>
    <w:lvl w:ilvl="1" w:tentative="0">
      <w:start w:val="1"/>
      <w:numFmt w:val="decimal"/>
      <w:lvlText w:val="%2"/>
      <w:lvlJc w:val="left"/>
      <w:pPr>
        <w:ind w:left="780" w:hanging="360"/>
      </w:pPr>
      <w:rPr>
        <w:rFonts w:hint="default"/>
      </w:rPr>
    </w:lvl>
    <w:lvl w:ilvl="2" w:tentative="0">
      <w:start w:val="4"/>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151E1"/>
    <w:multiLevelType w:val="multilevel"/>
    <w:tmpl w:val="229151E1"/>
    <w:lvl w:ilvl="0" w:tentative="0">
      <w:start w:val="1"/>
      <w:numFmt w:val="decimal"/>
      <w:lvlText w:val="%1."/>
      <w:lvlJc w:val="left"/>
      <w:pPr>
        <w:ind w:left="660" w:hanging="420"/>
      </w:pPr>
    </w:lvl>
    <w:lvl w:ilvl="1" w:tentative="0">
      <w:start w:val="1"/>
      <w:numFmt w:val="decimal"/>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37EE604F"/>
    <w:multiLevelType w:val="multilevel"/>
    <w:tmpl w:val="37EE604F"/>
    <w:lvl w:ilvl="0" w:tentative="0">
      <w:start w:val="1"/>
      <w:numFmt w:val="decimal"/>
      <w:lvlText w:val="%1、"/>
      <w:lvlJc w:val="left"/>
      <w:pPr>
        <w:tabs>
          <w:tab w:val="left" w:pos="360"/>
        </w:tabs>
        <w:ind w:left="360" w:hanging="360"/>
      </w:pPr>
      <w:rPr>
        <w:rFonts w:hint="eastAsia"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6">
    <w:nsid w:val="620115C1"/>
    <w:multiLevelType w:val="singleLevel"/>
    <w:tmpl w:val="620115C1"/>
    <w:lvl w:ilvl="0" w:tentative="0">
      <w:start w:val="1"/>
      <w:numFmt w:val="chineseCounting"/>
      <w:suff w:val="nothing"/>
      <w:lvlText w:val="%1、"/>
      <w:lvlJc w:val="left"/>
      <w:rPr>
        <w:rFonts w:hint="eastAsia"/>
      </w:rPr>
    </w:lvl>
  </w:abstractNum>
  <w:abstractNum w:abstractNumId="7">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A0DAF3"/>
    <w:multiLevelType w:val="multilevel"/>
    <w:tmpl w:val="78A0DAF3"/>
    <w:lvl w:ilvl="0" w:tentative="0">
      <w:start w:val="1"/>
      <w:numFmt w:val="decimal"/>
      <w:lvlText w:val="%1、"/>
      <w:lvlJc w:val="left"/>
      <w:pPr>
        <w:tabs>
          <w:tab w:val="left" w:pos="360"/>
        </w:tabs>
        <w:ind w:left="360" w:hanging="360"/>
      </w:pPr>
      <w:rPr>
        <w:rFonts w:hint="eastAsia"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5B8508"/>
    <w:multiLevelType w:val="singleLevel"/>
    <w:tmpl w:val="7C5B8508"/>
    <w:lvl w:ilvl="0" w:tentative="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1"/>
  </w:num>
  <w:num w:numId="5">
    <w:abstractNumId w:val="3"/>
  </w:num>
  <w:num w:numId="6">
    <w:abstractNumId w:val="9"/>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xNTE1ODJjMjBmYzE1ZTJjMzQ5ZjEwMjA1YjI1NDIifQ=="/>
  </w:docVars>
  <w:rsids>
    <w:rsidRoot w:val="00A7327B"/>
    <w:rsid w:val="00013536"/>
    <w:rsid w:val="00033F48"/>
    <w:rsid w:val="00073D41"/>
    <w:rsid w:val="00080639"/>
    <w:rsid w:val="001600A9"/>
    <w:rsid w:val="00172AB6"/>
    <w:rsid w:val="0018339B"/>
    <w:rsid w:val="001B7D0D"/>
    <w:rsid w:val="002270D0"/>
    <w:rsid w:val="002301CE"/>
    <w:rsid w:val="00266C20"/>
    <w:rsid w:val="00276EBF"/>
    <w:rsid w:val="0028315E"/>
    <w:rsid w:val="00343F5C"/>
    <w:rsid w:val="003C7F1E"/>
    <w:rsid w:val="003E53D5"/>
    <w:rsid w:val="003F3EAC"/>
    <w:rsid w:val="00443264"/>
    <w:rsid w:val="0044528B"/>
    <w:rsid w:val="004521B7"/>
    <w:rsid w:val="0050219E"/>
    <w:rsid w:val="00556797"/>
    <w:rsid w:val="005D6334"/>
    <w:rsid w:val="005E73A7"/>
    <w:rsid w:val="005F37BC"/>
    <w:rsid w:val="00612376"/>
    <w:rsid w:val="00616977"/>
    <w:rsid w:val="006A7E6A"/>
    <w:rsid w:val="006F46AA"/>
    <w:rsid w:val="0072258B"/>
    <w:rsid w:val="00770BB7"/>
    <w:rsid w:val="0077736E"/>
    <w:rsid w:val="007870CE"/>
    <w:rsid w:val="00797F8E"/>
    <w:rsid w:val="007A74E0"/>
    <w:rsid w:val="007C3A13"/>
    <w:rsid w:val="0081416A"/>
    <w:rsid w:val="008C6760"/>
    <w:rsid w:val="0090760A"/>
    <w:rsid w:val="00917FC9"/>
    <w:rsid w:val="00961435"/>
    <w:rsid w:val="009726F2"/>
    <w:rsid w:val="00995D25"/>
    <w:rsid w:val="009B3457"/>
    <w:rsid w:val="00A310AB"/>
    <w:rsid w:val="00A7327B"/>
    <w:rsid w:val="00A84E79"/>
    <w:rsid w:val="00AA5458"/>
    <w:rsid w:val="00AD11B0"/>
    <w:rsid w:val="00AD65BD"/>
    <w:rsid w:val="00AE1756"/>
    <w:rsid w:val="00AF3D68"/>
    <w:rsid w:val="00B11DE2"/>
    <w:rsid w:val="00BB7A2F"/>
    <w:rsid w:val="00BF675F"/>
    <w:rsid w:val="00C92E68"/>
    <w:rsid w:val="00CA39FE"/>
    <w:rsid w:val="00CC1E84"/>
    <w:rsid w:val="00CC794A"/>
    <w:rsid w:val="00D419D7"/>
    <w:rsid w:val="00E2550B"/>
    <w:rsid w:val="00E52182"/>
    <w:rsid w:val="00EC0AF8"/>
    <w:rsid w:val="00EC6A86"/>
    <w:rsid w:val="00ED7045"/>
    <w:rsid w:val="00F2654D"/>
    <w:rsid w:val="00F6467A"/>
    <w:rsid w:val="01026A67"/>
    <w:rsid w:val="015463D8"/>
    <w:rsid w:val="019436D1"/>
    <w:rsid w:val="046A5530"/>
    <w:rsid w:val="05811AC3"/>
    <w:rsid w:val="0B4E4CEF"/>
    <w:rsid w:val="0C6F1ECE"/>
    <w:rsid w:val="0C8A1D9B"/>
    <w:rsid w:val="0CC85974"/>
    <w:rsid w:val="0D420839"/>
    <w:rsid w:val="11666DE8"/>
    <w:rsid w:val="130C4881"/>
    <w:rsid w:val="14462D84"/>
    <w:rsid w:val="18994C21"/>
    <w:rsid w:val="1D091595"/>
    <w:rsid w:val="1DAC2255"/>
    <w:rsid w:val="1DC225C9"/>
    <w:rsid w:val="1E500102"/>
    <w:rsid w:val="1EEF4F06"/>
    <w:rsid w:val="21486D09"/>
    <w:rsid w:val="21681C9D"/>
    <w:rsid w:val="23CA2C9B"/>
    <w:rsid w:val="27777DEC"/>
    <w:rsid w:val="28014C3F"/>
    <w:rsid w:val="2A0B73A2"/>
    <w:rsid w:val="2DA054C0"/>
    <w:rsid w:val="2DAE5ED2"/>
    <w:rsid w:val="32F22AC9"/>
    <w:rsid w:val="332B2711"/>
    <w:rsid w:val="34812900"/>
    <w:rsid w:val="3732195D"/>
    <w:rsid w:val="389307F0"/>
    <w:rsid w:val="38D95ED0"/>
    <w:rsid w:val="3AE277B3"/>
    <w:rsid w:val="3AF73237"/>
    <w:rsid w:val="3E892BF7"/>
    <w:rsid w:val="41605A26"/>
    <w:rsid w:val="4497022A"/>
    <w:rsid w:val="44DE3F75"/>
    <w:rsid w:val="46456C98"/>
    <w:rsid w:val="469D2A3D"/>
    <w:rsid w:val="47467C1F"/>
    <w:rsid w:val="480B71C9"/>
    <w:rsid w:val="49BC54C3"/>
    <w:rsid w:val="4E236944"/>
    <w:rsid w:val="4E2375DE"/>
    <w:rsid w:val="4EBA09AB"/>
    <w:rsid w:val="527C0F92"/>
    <w:rsid w:val="59635B05"/>
    <w:rsid w:val="5FBA3A96"/>
    <w:rsid w:val="60293813"/>
    <w:rsid w:val="677D186B"/>
    <w:rsid w:val="6B0C3803"/>
    <w:rsid w:val="6B863CA9"/>
    <w:rsid w:val="6C4777D3"/>
    <w:rsid w:val="6CE07597"/>
    <w:rsid w:val="6E7F2DDF"/>
    <w:rsid w:val="711C0C76"/>
    <w:rsid w:val="719A1802"/>
    <w:rsid w:val="72163772"/>
    <w:rsid w:val="75033D8C"/>
    <w:rsid w:val="7615075C"/>
    <w:rsid w:val="775A3168"/>
    <w:rsid w:val="7A8376CE"/>
    <w:rsid w:val="7EF4254F"/>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textAlignment w:val="baseline"/>
    </w:pPr>
    <w:rPr>
      <w:rFonts w:ascii="宋体" w:eastAsia="华文楷体"/>
      <w:snapToGrid w:val="0"/>
      <w:kern w:val="0"/>
      <w:sz w:val="34"/>
    </w:rPr>
  </w:style>
  <w:style w:type="paragraph" w:styleId="5">
    <w:name w:val="annotation text"/>
    <w:basedOn w:val="1"/>
    <w:link w:val="20"/>
    <w:autoRedefine/>
    <w:qFormat/>
    <w:uiPriority w:val="99"/>
    <w:pPr>
      <w:jc w:val="left"/>
    </w:pPr>
    <w:rPr>
      <w:rFonts w:asciiTheme="minorHAnsi" w:hAnsiTheme="minorHAnsi" w:cstheme="minorBidi"/>
    </w:rPr>
  </w:style>
  <w:style w:type="paragraph" w:styleId="6">
    <w:name w:val="Body Text"/>
    <w:basedOn w:val="1"/>
    <w:link w:val="31"/>
    <w:autoRedefine/>
    <w:unhideWhenUsed/>
    <w:qFormat/>
    <w:uiPriority w:val="99"/>
    <w:pPr>
      <w:spacing w:after="120"/>
    </w:pPr>
  </w:style>
  <w:style w:type="paragraph" w:styleId="7">
    <w:name w:val="Body Text Indent"/>
    <w:basedOn w:val="1"/>
    <w:link w:val="22"/>
    <w:autoRedefine/>
    <w:qFormat/>
    <w:uiPriority w:val="0"/>
    <w:pPr>
      <w:ind w:firstLine="570"/>
    </w:pPr>
    <w:rPr>
      <w:rFonts w:ascii="宋体" w:hAnsi="宋体" w:cstheme="minorBidi"/>
      <w:sz w:val="28"/>
      <w:szCs w:val="22"/>
    </w:rPr>
  </w:style>
  <w:style w:type="paragraph" w:styleId="8">
    <w:name w:val="Plain Text"/>
    <w:basedOn w:val="1"/>
    <w:link w:val="21"/>
    <w:autoRedefine/>
    <w:qFormat/>
    <w:uiPriority w:val="0"/>
    <w:pPr>
      <w:spacing w:line="360" w:lineRule="auto"/>
      <w:ind w:firstLine="510"/>
    </w:pPr>
    <w:rPr>
      <w:rFonts w:ascii="宋体" w:hAnsi="Courier New" w:cstheme="minorBidi"/>
      <w:sz w:val="24"/>
      <w:szCs w:val="22"/>
    </w:rPr>
  </w:style>
  <w:style w:type="paragraph" w:styleId="9">
    <w:name w:val="Balloon Text"/>
    <w:basedOn w:val="1"/>
    <w:link w:val="32"/>
    <w:autoRedefine/>
    <w:semiHidden/>
    <w:unhideWhenUsed/>
    <w:qFormat/>
    <w:uiPriority w:val="99"/>
    <w:rPr>
      <w:sz w:val="18"/>
      <w:szCs w:val="18"/>
    </w:rPr>
  </w:style>
  <w:style w:type="paragraph" w:styleId="10">
    <w:name w:val="footer"/>
    <w:basedOn w:val="1"/>
    <w:link w:val="17"/>
    <w:autoRedefine/>
    <w:unhideWhenUsed/>
    <w:qFormat/>
    <w:uiPriority w:val="99"/>
    <w:pPr>
      <w:tabs>
        <w:tab w:val="center" w:pos="4153"/>
        <w:tab w:val="right" w:pos="8306"/>
      </w:tabs>
      <w:snapToGrid w:val="0"/>
      <w:jc w:val="left"/>
    </w:pPr>
    <w:rPr>
      <w:sz w:val="18"/>
      <w:szCs w:val="18"/>
    </w:rPr>
  </w:style>
  <w:style w:type="paragraph" w:styleId="11">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semiHidden/>
    <w:unhideWhenUsed/>
    <w:qFormat/>
    <w:uiPriority w:val="99"/>
    <w:pPr>
      <w:spacing w:after="120"/>
      <w:ind w:left="420" w:leftChars="200"/>
    </w:pPr>
    <w:rPr>
      <w:sz w:val="16"/>
      <w:szCs w:val="16"/>
    </w:rPr>
  </w:style>
  <w:style w:type="character" w:styleId="15">
    <w:name w:val="annotation reference"/>
    <w:basedOn w:val="14"/>
    <w:autoRedefine/>
    <w:semiHidden/>
    <w:unhideWhenUsed/>
    <w:qFormat/>
    <w:uiPriority w:val="99"/>
    <w:rPr>
      <w:sz w:val="21"/>
      <w:szCs w:val="21"/>
    </w:rPr>
  </w:style>
  <w:style w:type="character" w:customStyle="1" w:styleId="16">
    <w:name w:val="页眉 Char"/>
    <w:basedOn w:val="14"/>
    <w:link w:val="11"/>
    <w:autoRedefine/>
    <w:qFormat/>
    <w:uiPriority w:val="99"/>
    <w:rPr>
      <w:sz w:val="18"/>
      <w:szCs w:val="18"/>
    </w:rPr>
  </w:style>
  <w:style w:type="character" w:customStyle="1" w:styleId="17">
    <w:name w:val="页脚 Char"/>
    <w:basedOn w:val="14"/>
    <w:link w:val="10"/>
    <w:autoRedefine/>
    <w:qFormat/>
    <w:uiPriority w:val="99"/>
    <w:rPr>
      <w:sz w:val="18"/>
      <w:szCs w:val="18"/>
    </w:rPr>
  </w:style>
  <w:style w:type="character" w:customStyle="1" w:styleId="18">
    <w:name w:val="标题 1 Char"/>
    <w:basedOn w:val="14"/>
    <w:link w:val="3"/>
    <w:autoRedefine/>
    <w:qFormat/>
    <w:uiPriority w:val="0"/>
    <w:rPr>
      <w:rFonts w:ascii="Times New Roman" w:hAnsi="Times New Roman" w:eastAsia="宋体" w:cs="Times New Roman"/>
      <w:b/>
      <w:bCs/>
      <w:kern w:val="44"/>
      <w:sz w:val="44"/>
      <w:szCs w:val="44"/>
    </w:rPr>
  </w:style>
  <w:style w:type="character" w:customStyle="1" w:styleId="19">
    <w:name w:val="标题 2 Char"/>
    <w:basedOn w:val="14"/>
    <w:link w:val="4"/>
    <w:autoRedefine/>
    <w:qFormat/>
    <w:uiPriority w:val="0"/>
    <w:rPr>
      <w:rFonts w:ascii="Arial" w:hAnsi="Arial" w:eastAsia="黑体" w:cs="Times New Roman"/>
      <w:b/>
      <w:bCs/>
      <w:sz w:val="32"/>
      <w:szCs w:val="32"/>
    </w:rPr>
  </w:style>
  <w:style w:type="character" w:customStyle="1" w:styleId="20">
    <w:name w:val="批注文字 Char"/>
    <w:link w:val="5"/>
    <w:autoRedefine/>
    <w:semiHidden/>
    <w:qFormat/>
    <w:uiPriority w:val="0"/>
    <w:rPr>
      <w:rFonts w:eastAsia="宋体"/>
      <w:szCs w:val="24"/>
    </w:rPr>
  </w:style>
  <w:style w:type="character" w:customStyle="1" w:styleId="21">
    <w:name w:val="纯文本 Char"/>
    <w:link w:val="8"/>
    <w:autoRedefine/>
    <w:qFormat/>
    <w:uiPriority w:val="0"/>
    <w:rPr>
      <w:rFonts w:ascii="宋体" w:hAnsi="Courier New" w:eastAsia="宋体"/>
      <w:sz w:val="24"/>
    </w:rPr>
  </w:style>
  <w:style w:type="character" w:customStyle="1" w:styleId="22">
    <w:name w:val="正文文本缩进 Char"/>
    <w:link w:val="7"/>
    <w:autoRedefine/>
    <w:qFormat/>
    <w:uiPriority w:val="0"/>
    <w:rPr>
      <w:rFonts w:ascii="宋体" w:hAnsi="宋体" w:eastAsia="宋体"/>
      <w:sz w:val="28"/>
    </w:rPr>
  </w:style>
  <w:style w:type="character" w:customStyle="1" w:styleId="23">
    <w:name w:val="批注文字 Char1"/>
    <w:basedOn w:val="14"/>
    <w:autoRedefine/>
    <w:semiHidden/>
    <w:qFormat/>
    <w:uiPriority w:val="99"/>
    <w:rPr>
      <w:rFonts w:ascii="Times New Roman" w:hAnsi="Times New Roman" w:eastAsia="宋体" w:cs="Times New Roman"/>
      <w:szCs w:val="24"/>
    </w:rPr>
  </w:style>
  <w:style w:type="character" w:customStyle="1" w:styleId="24">
    <w:name w:val="纯文本 Char1"/>
    <w:basedOn w:val="14"/>
    <w:autoRedefine/>
    <w:semiHidden/>
    <w:qFormat/>
    <w:uiPriority w:val="99"/>
    <w:rPr>
      <w:rFonts w:ascii="宋体" w:hAnsi="Courier New" w:eastAsia="宋体" w:cs="Courier New"/>
      <w:szCs w:val="21"/>
    </w:rPr>
  </w:style>
  <w:style w:type="character" w:customStyle="1" w:styleId="25">
    <w:name w:val="正文文本缩进 Char1"/>
    <w:basedOn w:val="14"/>
    <w:autoRedefine/>
    <w:semiHidden/>
    <w:qFormat/>
    <w:uiPriority w:val="99"/>
    <w:rPr>
      <w:rFonts w:ascii="Times New Roman" w:hAnsi="Times New Roman" w:eastAsia="宋体" w:cs="Times New Roman"/>
      <w:szCs w:val="24"/>
    </w:rPr>
  </w:style>
  <w:style w:type="paragraph" w:customStyle="1" w:styleId="26">
    <w:name w:val="彩色列表1"/>
    <w:basedOn w:val="1"/>
    <w:autoRedefine/>
    <w:qFormat/>
    <w:uiPriority w:val="34"/>
    <w:pPr>
      <w:ind w:firstLine="420" w:firstLineChars="200"/>
    </w:pPr>
    <w:rPr>
      <w:rFonts w:ascii="Calibri" w:hAnsi="Calibri"/>
      <w:szCs w:val="22"/>
    </w:rPr>
  </w:style>
  <w:style w:type="paragraph" w:customStyle="1" w:styleId="27">
    <w:name w:val="正文_0_0"/>
    <w:autoRedefine/>
    <w:qFormat/>
    <w:uiPriority w:val="0"/>
    <w:rPr>
      <w:rFonts w:ascii="Times New Roman" w:hAnsi="Times New Roman" w:eastAsia="宋体" w:cs="Times New Roman"/>
      <w:sz w:val="21"/>
      <w:lang w:val="en-US" w:eastAsia="zh-CN" w:bidi="ar-SA"/>
    </w:rPr>
  </w:style>
  <w:style w:type="paragraph" w:customStyle="1" w:styleId="28">
    <w:name w:val="列出段落1"/>
    <w:basedOn w:val="1"/>
    <w:autoRedefine/>
    <w:qFormat/>
    <w:uiPriority w:val="1"/>
    <w:pPr>
      <w:ind w:firstLine="420" w:firstLineChars="200"/>
    </w:pPr>
  </w:style>
  <w:style w:type="paragraph" w:styleId="29">
    <w:name w:val="List Paragraph"/>
    <w:basedOn w:val="1"/>
    <w:autoRedefine/>
    <w:qFormat/>
    <w:uiPriority w:val="1"/>
    <w:pPr>
      <w:ind w:firstLine="420" w:firstLineChars="200"/>
    </w:pPr>
    <w:rPr>
      <w:rFonts w:ascii="Calibri" w:hAnsi="Calibri"/>
      <w:szCs w:val="22"/>
    </w:rPr>
  </w:style>
  <w:style w:type="paragraph" w:customStyle="1" w:styleId="30">
    <w:name w:val="样式1"/>
    <w:basedOn w:val="1"/>
    <w:autoRedefine/>
    <w:qFormat/>
    <w:uiPriority w:val="0"/>
    <w:pPr>
      <w:tabs>
        <w:tab w:val="left" w:pos="709"/>
      </w:tabs>
      <w:ind w:left="784" w:hanging="360"/>
    </w:pPr>
    <w:rPr>
      <w:rFonts w:ascii="宋体" w:hAnsi="宋体" w:eastAsia="楷体_GB2312"/>
      <w:sz w:val="26"/>
      <w:szCs w:val="20"/>
    </w:rPr>
  </w:style>
  <w:style w:type="character" w:customStyle="1" w:styleId="31">
    <w:name w:val="正文文本 Char"/>
    <w:basedOn w:val="14"/>
    <w:link w:val="6"/>
    <w:autoRedefine/>
    <w:semiHidden/>
    <w:qFormat/>
    <w:uiPriority w:val="99"/>
    <w:rPr>
      <w:rFonts w:ascii="Times New Roman" w:hAnsi="Times New Roman" w:eastAsia="宋体" w:cs="Times New Roman"/>
      <w:szCs w:val="24"/>
    </w:rPr>
  </w:style>
  <w:style w:type="character" w:customStyle="1" w:styleId="32">
    <w:name w:val="批注框文本 Char"/>
    <w:basedOn w:val="14"/>
    <w:link w:val="9"/>
    <w:autoRedefine/>
    <w:semiHidden/>
    <w:qFormat/>
    <w:uiPriority w:val="99"/>
    <w:rPr>
      <w:rFonts w:ascii="Times New Roman" w:hAnsi="Times New Roman" w:eastAsia="宋体" w:cs="Times New Roman"/>
      <w:sz w:val="18"/>
      <w:szCs w:val="18"/>
    </w:rPr>
  </w:style>
  <w:style w:type="character" w:customStyle="1" w:styleId="33">
    <w:name w:val="font51"/>
    <w:basedOn w:val="14"/>
    <w:autoRedefine/>
    <w:qFormat/>
    <w:uiPriority w:val="0"/>
    <w:rPr>
      <w:rFonts w:hint="eastAsia" w:ascii="等线" w:hAnsi="等线" w:eastAsia="等线" w:cs="等线"/>
      <w:b/>
      <w:bCs/>
      <w:color w:val="000000"/>
      <w:sz w:val="20"/>
      <w:szCs w:val="20"/>
      <w:u w:val="none"/>
    </w:rPr>
  </w:style>
  <w:style w:type="character" w:customStyle="1" w:styleId="34">
    <w:name w:val="font31"/>
    <w:basedOn w:val="14"/>
    <w:autoRedefine/>
    <w:qFormat/>
    <w:uiPriority w:val="0"/>
    <w:rPr>
      <w:rFonts w:hint="eastAsia" w:ascii="等线" w:hAnsi="等线" w:eastAsia="等线" w:cs="等线"/>
      <w:color w:val="000000"/>
      <w:sz w:val="20"/>
      <w:szCs w:val="20"/>
      <w:u w:val="none"/>
    </w:rPr>
  </w:style>
  <w:style w:type="character" w:customStyle="1" w:styleId="35">
    <w:name w:val="font21"/>
    <w:basedOn w:val="14"/>
    <w:autoRedefine/>
    <w:qFormat/>
    <w:uiPriority w:val="0"/>
    <w:rPr>
      <w:rFonts w:hint="eastAsia" w:ascii="等线" w:hAnsi="等线" w:eastAsia="等线" w:cs="等线"/>
      <w:color w:val="000000"/>
      <w:sz w:val="18"/>
      <w:szCs w:val="18"/>
      <w:u w:val="none"/>
    </w:rPr>
  </w:style>
  <w:style w:type="character" w:customStyle="1" w:styleId="36">
    <w:name w:val="font41"/>
    <w:basedOn w:val="14"/>
    <w:autoRedefine/>
    <w:qFormat/>
    <w:uiPriority w:val="0"/>
    <w:rPr>
      <w:rFonts w:hint="eastAsia" w:ascii="等线" w:hAnsi="等线" w:eastAsia="等线" w:cs="等线"/>
      <w:color w:val="000000"/>
      <w:sz w:val="20"/>
      <w:szCs w:val="20"/>
      <w:u w:val="none"/>
    </w:rPr>
  </w:style>
  <w:style w:type="character" w:customStyle="1" w:styleId="37">
    <w:name w:val="font01"/>
    <w:basedOn w:val="14"/>
    <w:autoRedefine/>
    <w:qFormat/>
    <w:uiPriority w:val="0"/>
    <w:rPr>
      <w:rFonts w:hint="eastAsia" w:ascii="等线" w:hAnsi="等线" w:eastAsia="等线" w:cs="等线"/>
      <w:color w:val="000000"/>
      <w:sz w:val="18"/>
      <w:szCs w:val="18"/>
      <w:u w:val="none"/>
    </w:rPr>
  </w:style>
  <w:style w:type="character" w:customStyle="1" w:styleId="38">
    <w:name w:val="font11"/>
    <w:basedOn w:val="14"/>
    <w:autoRedefine/>
    <w:qFormat/>
    <w:uiPriority w:val="0"/>
    <w:rPr>
      <w:rFonts w:hint="eastAsia" w:ascii="等线" w:hAnsi="等线" w:eastAsia="等线" w:cs="等线"/>
      <w:b/>
      <w:bCs/>
      <w:color w:val="000000"/>
      <w:sz w:val="20"/>
      <w:szCs w:val="20"/>
      <w:u w:val="none"/>
    </w:rPr>
  </w:style>
  <w:style w:type="character" w:customStyle="1" w:styleId="39">
    <w:name w:val="font61"/>
    <w:basedOn w:val="14"/>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2905</Words>
  <Characters>16562</Characters>
  <Lines>138</Lines>
  <Paragraphs>38</Paragraphs>
  <TotalTime>39</TotalTime>
  <ScaleCrop>false</ScaleCrop>
  <LinksUpToDate>false</LinksUpToDate>
  <CharactersWithSpaces>19429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cydc</cp:lastModifiedBy>
  <dcterms:modified xsi:type="dcterms:W3CDTF">2024-02-29T09:45:21Z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FBD015447C6542D9B4B34A1FBFE49CA2_13</vt:lpwstr>
  </property>
</Properties>
</file>