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城隽雅苑北区</w:t>
      </w:r>
    </w:p>
    <w:p>
      <w:pPr>
        <w:spacing w:line="360" w:lineRule="auto"/>
        <w:jc w:val="center"/>
        <w:rPr>
          <w:rFonts w:ascii="楷体" w:hAnsi="楷体" w:eastAsia="楷体"/>
          <w:b/>
          <w:sz w:val="52"/>
          <w:szCs w:val="48"/>
        </w:rPr>
      </w:pPr>
      <w:r>
        <w:rPr>
          <w:rFonts w:hint="eastAsia" w:ascii="楷体" w:hAnsi="楷体" w:eastAsia="楷体"/>
          <w:b/>
          <w:sz w:val="52"/>
          <w:szCs w:val="48"/>
        </w:rPr>
        <w:t>线上媒体推广服务项目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2023</w:t>
      </w:r>
      <w:r>
        <w:rPr>
          <w:rFonts w:hint="eastAsia" w:ascii="楷体" w:hAnsi="楷体" w:eastAsia="楷体" w:cs="宋体"/>
          <w:b/>
          <w:bCs/>
          <w:color w:val="000000"/>
          <w:sz w:val="32"/>
          <w:szCs w:val="32"/>
        </w:rPr>
        <w:t>年6月21日</w:t>
      </w:r>
    </w:p>
    <w:p>
      <w:pPr>
        <w:jc w:val="center"/>
        <w:rPr>
          <w:rFonts w:ascii="仿宋_GB2312" w:eastAsia="仿宋_GB2312"/>
        </w:rPr>
      </w:pP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ascii="仿宋_GB2312" w:hAnsi="宋体" w:eastAsia="仿宋_GB2312" w:cs="宋体"/>
          <w:spacing w:val="20"/>
          <w:sz w:val="32"/>
          <w:szCs w:val="32"/>
        </w:rPr>
        <w:br w:type="page"/>
      </w:r>
      <w:bookmarkEnd w:id="0"/>
      <w:r>
        <w:rPr>
          <w:rFonts w:hint="eastAsia" w:ascii="仿宋_GB2312" w:hAnsi="宋体" w:eastAsia="仿宋_GB2312" w:cs="宋体"/>
          <w:b/>
          <w:bCs/>
          <w:spacing w:val="20"/>
          <w:kern w:val="44"/>
          <w:sz w:val="32"/>
          <w:szCs w:val="32"/>
        </w:rPr>
        <w:t>竞选公告</w:t>
      </w:r>
    </w:p>
    <w:p>
      <w:pPr>
        <w:widowControl/>
        <w:spacing w:line="400" w:lineRule="exact"/>
        <w:rPr>
          <w:rFonts w:ascii="Calibri" w:hAnsi="Calibri"/>
        </w:rPr>
      </w:pP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城隽雅苑北区线上媒体推广服务项目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360" w:lineRule="auto"/>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城隽雅苑北区项目线上媒体推广服务项目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widowControl/>
        <w:spacing w:line="360" w:lineRule="auto"/>
        <w:ind w:firstLine="480"/>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一、竞选项目内容说明</w:t>
      </w:r>
    </w:p>
    <w:p>
      <w:pPr>
        <w:spacing w:line="400" w:lineRule="exact"/>
        <w:jc w:val="left"/>
        <w:rPr>
          <w:rFonts w:ascii="仿宋" w:hAnsi="仿宋" w:eastAsia="仿宋" w:cs="仿宋_GB2312"/>
          <w:kern w:val="0"/>
          <w:sz w:val="24"/>
        </w:rPr>
      </w:pPr>
      <w:r>
        <w:rPr>
          <w:rFonts w:hint="eastAsia" w:ascii="仿宋_GB2312" w:hAnsi="仿宋_GB2312" w:eastAsia="仿宋_GB2312" w:cs="仿宋_GB2312"/>
          <w:sz w:val="24"/>
        </w:rPr>
        <w:t>（一）项目名称：</w:t>
      </w:r>
      <w:r>
        <w:rPr>
          <w:rFonts w:hint="eastAsia" w:ascii="仿宋" w:hAnsi="仿宋" w:eastAsia="仿宋" w:cs="仿宋_GB2312"/>
          <w:kern w:val="0"/>
          <w:sz w:val="24"/>
        </w:rPr>
        <w:t>城隽雅苑北区线上媒体推广服务项目</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（二）项目内容：</w:t>
      </w:r>
      <w:r>
        <w:rPr>
          <w:rFonts w:hint="eastAsia" w:ascii="仿宋" w:hAnsi="仿宋" w:eastAsia="仿宋" w:cs="仿宋_GB2312"/>
          <w:kern w:val="0"/>
          <w:sz w:val="24"/>
        </w:rPr>
        <w:t>服务单位需按照招选人要求实现城隽雅苑北区项目线上媒体推广服务项目，</w:t>
      </w:r>
      <w:r>
        <w:rPr>
          <w:rFonts w:hint="eastAsia" w:ascii="仿宋_GB2312" w:hAnsi="仿宋_GB2312" w:eastAsia="仿宋_GB2312" w:cs="仿宋_GB2312"/>
          <w:sz w:val="24"/>
        </w:rPr>
        <w:t>具体推广内容详见清单</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（三）项目地点：广州市番禺区新造镇城隽雅苑北区销售中心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（四）项目限价：</w:t>
      </w:r>
      <w:bookmarkStart w:id="2" w:name="_Hlk112146153"/>
      <w:r>
        <w:rPr>
          <w:rFonts w:ascii="仿宋_GB2312" w:hAnsi="仿宋_GB2312" w:eastAsia="仿宋_GB2312" w:cs="仿宋_GB2312"/>
          <w:sz w:val="24"/>
        </w:rPr>
        <w:t xml:space="preserve"> </w:t>
      </w:r>
      <w:r>
        <w:rPr>
          <w:rFonts w:hint="eastAsia" w:ascii="仿宋_GB2312" w:hAnsi="仿宋_GB2312" w:eastAsia="仿宋_GB2312" w:cs="仿宋_GB2312"/>
          <w:sz w:val="24"/>
        </w:rPr>
        <w:t>453970.44元人民币</w:t>
      </w:r>
      <w:bookmarkEnd w:id="2"/>
      <w:r>
        <w:rPr>
          <w:rFonts w:hint="eastAsia" w:ascii="仿宋_GB2312" w:hAnsi="仿宋_GB2312" w:eastAsia="仿宋_GB2312" w:cs="仿宋_GB2312"/>
          <w:sz w:val="24"/>
        </w:rPr>
        <w:t>（含税）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（五）本项目设置合理报价区间为[项目限价*80%，项目限价]</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二、供应商资格要求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1、竞投人必须是国内合法注册的法人或其他组织, 并已办理合法税务登记，具有开具相应发票能力；</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2、竞投人须具备实施采购项目所需的广告服务的经营范围；</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3、本项目不接受联合体竞投。</w:t>
      </w:r>
    </w:p>
    <w:p>
      <w:pPr>
        <w:spacing w:line="400" w:lineRule="exact"/>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三、竞投资料及递交时间地点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（一）公司资质的相关文件：公司营业执照（加盖公章）及公司基本情况介绍等资料。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w:t>
      </w:r>
      <w:r>
        <w:rPr>
          <w:rFonts w:hint="eastAsia" w:ascii="仿宋" w:hAnsi="仿宋" w:eastAsia="仿宋" w:cs="仿宋_GB2312"/>
          <w:kern w:val="0"/>
          <w:sz w:val="24"/>
        </w:rPr>
        <w:t>城隽雅苑北区项目线上媒体推广服务方案</w:t>
      </w:r>
      <w:r>
        <w:rPr>
          <w:rFonts w:hint="eastAsia" w:ascii="仿宋_GB2312" w:hAnsi="仿宋_GB2312" w:eastAsia="仿宋_GB2312" w:cs="仿宋_GB2312"/>
          <w:sz w:val="24"/>
        </w:rPr>
        <w:t>（含竞投报价清单以及服务事项等）。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（四）竞投文件提交截止时间：2023年6月27日上午</w:t>
      </w:r>
      <w:r>
        <w:rPr>
          <w:rFonts w:hint="eastAsia" w:ascii="仿宋_GB2312" w:hAnsi="仿宋_GB2312" w:eastAsia="仿宋_GB2312" w:cs="仿宋_GB2312"/>
          <w:sz w:val="24"/>
          <w:lang w:val="en-US" w:eastAsia="zh-CN"/>
        </w:rPr>
        <w:t>9:00-</w:t>
      </w:r>
      <w:r>
        <w:rPr>
          <w:rFonts w:hint="eastAsia" w:ascii="仿宋_GB2312" w:hAnsi="仿宋_GB2312" w:eastAsia="仿宋_GB2312" w:cs="仿宋_GB2312"/>
          <w:sz w:val="24"/>
        </w:rPr>
        <w:t>9:30</w:t>
      </w:r>
    </w:p>
    <w:p>
      <w:pPr>
        <w:spacing w:line="400" w:lineRule="exact"/>
        <w:rPr>
          <w:rFonts w:ascii="仿宋_GB2312" w:hAnsi="仿宋_GB2312" w:eastAsia="仿宋_GB2312" w:cs="仿宋_GB2312"/>
          <w:color w:val="FF000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rPr>
        <w:t>）竞投文件提交截止时间：2023年6月27日上午9:30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六</w:t>
      </w:r>
      <w:r>
        <w:rPr>
          <w:rFonts w:hint="eastAsia" w:ascii="仿宋_GB2312" w:hAnsi="仿宋_GB2312" w:eastAsia="仿宋_GB2312" w:cs="仿宋_GB2312"/>
          <w:sz w:val="24"/>
        </w:rPr>
        <w:t>）递交地址：广州市越秀区广电城投686产业园22楼。</w:t>
      </w:r>
    </w:p>
    <w:p>
      <w:pPr>
        <w:spacing w:line="40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七</w:t>
      </w:r>
      <w:r>
        <w:rPr>
          <w:rFonts w:hint="eastAsia" w:ascii="仿宋_GB2312" w:hAnsi="仿宋_GB2312" w:eastAsia="仿宋_GB2312" w:cs="仿宋_GB2312"/>
          <w:sz w:val="24"/>
        </w:rPr>
        <w:t>）开评标时间：2023年6月27日上午1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30</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四、中选和公布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本采购项目信息同步在采购人的官方网站（http://www.gzcityone.com/）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（三）竞投文件的截止递交时间前，如递交的有效竞投文件少于三家，则采购招选工作失败。广州市城壹房地产顾问有限公司将按有关规定另行组织采购竞选工作。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（四）本采购文件的最终解释权归采购人。</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公布时间: 竞投截止日起30日内</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五、采购单位名称、地址及联系方式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采购人名称：广州市城壹房地产顾问有限公司</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采购人地址：广州市越秀区广电城投686产业园22楼城壹顾问</w:t>
      </w:r>
    </w:p>
    <w:p>
      <w:pPr>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采购联系人：陈小姐</w:t>
      </w:r>
    </w:p>
    <w:p>
      <w:pPr>
        <w:snapToGrid w:val="0"/>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联系方式：13434178251</w:t>
      </w:r>
    </w:p>
    <w:p>
      <w:pPr>
        <w:widowControl/>
        <w:spacing w:line="400" w:lineRule="exact"/>
        <w:rPr>
          <w:rFonts w:ascii="仿宋_GB2312" w:hAnsi="仿宋_GB2312" w:eastAsia="仿宋_GB2312" w:cs="仿宋_GB2312"/>
          <w:kern w:val="0"/>
          <w:sz w:val="24"/>
        </w:rPr>
      </w:pPr>
    </w:p>
    <w:p>
      <w:pPr>
        <w:widowControl/>
        <w:spacing w:line="400" w:lineRule="exact"/>
        <w:rPr>
          <w:rFonts w:ascii="仿宋_GB2312" w:hAnsi="仿宋_GB2312" w:eastAsia="仿宋_GB2312" w:cs="仿宋_GB2312"/>
          <w:kern w:val="0"/>
          <w:sz w:val="24"/>
        </w:rPr>
      </w:pPr>
    </w:p>
    <w:p>
      <w:pPr>
        <w:widowControl/>
        <w:spacing w:line="400" w:lineRule="exact"/>
        <w:ind w:right="480"/>
        <w:jc w:val="right"/>
        <w:rPr>
          <w:rFonts w:ascii="仿宋_GB2312" w:hAnsi="仿宋_GB2312" w:eastAsia="仿宋_GB2312" w:cs="仿宋_GB2312"/>
          <w:sz w:val="24"/>
        </w:rPr>
      </w:pPr>
      <w:r>
        <w:rPr>
          <w:rFonts w:hint="eastAsia" w:ascii="仿宋_GB2312" w:hAnsi="仿宋_GB2312" w:eastAsia="仿宋_GB2312" w:cs="仿宋_GB2312"/>
          <w:kern w:val="0"/>
          <w:sz w:val="24"/>
        </w:rPr>
        <w:t xml:space="preserve">                      </w:t>
      </w:r>
      <w:bookmarkStart w:id="3" w:name="_Hlk111890385"/>
      <w:r>
        <w:rPr>
          <w:rFonts w:hint="eastAsia" w:ascii="仿宋_GB2312" w:hAnsi="仿宋_GB2312" w:eastAsia="仿宋_GB2312" w:cs="仿宋_GB2312"/>
          <w:kern w:val="0"/>
          <w:sz w:val="24"/>
        </w:rPr>
        <w:t xml:space="preserve"> </w:t>
      </w:r>
      <w:bookmarkStart w:id="4" w:name="_Hlk111890499"/>
      <w:r>
        <w:rPr>
          <w:rFonts w:hint="eastAsia" w:ascii="仿宋_GB2312" w:hAnsi="仿宋_GB2312" w:eastAsia="仿宋_GB2312" w:cs="仿宋_GB2312"/>
          <w:sz w:val="24"/>
        </w:rPr>
        <w:t>广州市城壹房地产顾问有限公司</w:t>
      </w:r>
      <w:bookmarkEnd w:id="3"/>
      <w:bookmarkEnd w:id="4"/>
    </w:p>
    <w:p>
      <w:pPr>
        <w:widowControl/>
        <w:wordWrap w:val="0"/>
        <w:spacing w:line="400" w:lineRule="exact"/>
        <w:ind w:right="1200"/>
        <w:jc w:val="right"/>
        <w:rPr>
          <w:rFonts w:ascii="仿宋_GB2312" w:hAnsi="仿宋_GB2312" w:eastAsia="仿宋_GB2312" w:cs="仿宋_GB2312"/>
          <w:color w:val="FF0000"/>
          <w:sz w:val="24"/>
        </w:rPr>
      </w:pPr>
      <w:r>
        <w:rPr>
          <w:rFonts w:hint="eastAsia" w:ascii="仿宋_GB2312" w:hAnsi="仿宋_GB2312" w:eastAsia="仿宋_GB2312" w:cs="仿宋_GB2312"/>
          <w:kern w:val="0"/>
          <w:sz w:val="24"/>
        </w:rPr>
        <w:t>2023年</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21</w:t>
      </w:r>
      <w:r>
        <w:rPr>
          <w:rFonts w:hint="eastAsia" w:ascii="仿宋_GB2312" w:hAnsi="仿宋_GB2312" w:eastAsia="仿宋_GB2312" w:cs="仿宋_GB2312"/>
          <w:kern w:val="0"/>
          <w:sz w:val="24"/>
        </w:rPr>
        <w:t>日</w:t>
      </w:r>
    </w:p>
    <w:p>
      <w:pPr>
        <w:widowControl/>
        <w:spacing w:line="360" w:lineRule="auto"/>
        <w:rPr>
          <w:rFonts w:ascii="仿宋" w:hAnsi="仿宋" w:eastAsia="仿宋" w:cs="仿宋_GB2312"/>
          <w:kern w:val="0"/>
          <w:sz w:val="24"/>
        </w:rPr>
      </w:pPr>
    </w:p>
    <w:bookmarkEnd w:id="1"/>
    <w:p>
      <w:pPr>
        <w:spacing w:line="360" w:lineRule="auto"/>
        <w:ind w:firstLine="480" w:firstLineChars="200"/>
        <w:jc w:val="center"/>
        <w:rPr>
          <w:rFonts w:ascii="仿宋_GB2312" w:eastAsia="仿宋_GB2312"/>
          <w:b/>
          <w:sz w:val="32"/>
          <w:szCs w:val="32"/>
        </w:rPr>
      </w:pPr>
      <w:bookmarkStart w:id="5" w:name="_Toc334797738"/>
      <w:bookmarkStart w:id="6" w:name="_Toc130180737"/>
      <w:bookmarkStart w:id="7" w:name="_Toc238282338"/>
      <w:bookmarkStart w:id="8" w:name="_Toc130180842"/>
      <w:bookmarkStart w:id="9" w:name="_Toc130180923"/>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一、总体说明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城隽雅苑北区线上媒体推广服务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 定义及解释</w:t>
      </w:r>
    </w:p>
    <w:p>
      <w:pPr>
        <w:spacing w:line="400" w:lineRule="exact"/>
        <w:rPr>
          <w:rFonts w:ascii="仿宋_GB2312" w:hAnsi="仿宋_GB2312" w:eastAsia="仿宋_GB2312" w:cs="仿宋_GB2312"/>
        </w:rPr>
      </w:pPr>
      <w:r>
        <w:rPr>
          <w:rFonts w:hint="eastAsia" w:ascii="仿宋_GB2312" w:hAnsi="仿宋_GB2312" w:eastAsia="仿宋_GB2312" w:cs="仿宋_GB2312"/>
        </w:rPr>
        <w:t>2.1 竞选文件中的标题仅起引导作用，而不应视为对竞选文件的内容的理解和解释。</w:t>
      </w:r>
    </w:p>
    <w:p>
      <w:pPr>
        <w:spacing w:line="400" w:lineRule="exact"/>
        <w:rPr>
          <w:rFonts w:ascii="仿宋_GB2312" w:hAnsi="仿宋_GB2312" w:eastAsia="仿宋_GB2312" w:cs="仿宋_GB2312"/>
        </w:rPr>
      </w:pPr>
      <w:r>
        <w:rPr>
          <w:rFonts w:hint="eastAsia" w:ascii="仿宋_GB2312" w:hAnsi="仿宋_GB2312" w:eastAsia="仿宋_GB2312" w:cs="仿宋_GB2312"/>
        </w:rPr>
        <w:t>2.2 服务：指竞投人为满足竞选文件要求而提供的服务。</w:t>
      </w:r>
    </w:p>
    <w:p>
      <w:pPr>
        <w:spacing w:line="400" w:lineRule="exact"/>
        <w:rPr>
          <w:rFonts w:ascii="仿宋_GB2312" w:hAnsi="仿宋_GB2312" w:eastAsia="仿宋_GB2312" w:cs="仿宋_GB2312"/>
        </w:rPr>
      </w:pPr>
      <w:r>
        <w:rPr>
          <w:rFonts w:hint="eastAsia" w:ascii="仿宋_GB2312" w:hAnsi="仿宋_GB2312" w:eastAsia="仿宋_GB2312" w:cs="仿宋_GB2312"/>
        </w:rPr>
        <w:t>2.3 采购方：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rPr>
        <w:t>。</w:t>
      </w:r>
    </w:p>
    <w:p>
      <w:pPr>
        <w:spacing w:line="400" w:lineRule="exact"/>
        <w:rPr>
          <w:rFonts w:ascii="仿宋_GB2312" w:hAnsi="仿宋_GB2312" w:eastAsia="仿宋_GB2312" w:cs="仿宋_GB2312"/>
        </w:rPr>
      </w:pPr>
      <w:r>
        <w:rPr>
          <w:rFonts w:hint="eastAsia" w:ascii="仿宋_GB2312" w:hAnsi="仿宋_GB2312" w:eastAsia="仿宋_GB2312" w:cs="仿宋_GB2312"/>
        </w:rPr>
        <w:t>2.4 竞投人：指与竞选文件规定要求一致，响应竞选，参加竞选竞争的合法公司。</w:t>
      </w:r>
    </w:p>
    <w:p>
      <w:pPr>
        <w:spacing w:line="400" w:lineRule="exact"/>
        <w:rPr>
          <w:rFonts w:ascii="仿宋_GB2312" w:hAnsi="仿宋_GB2312" w:eastAsia="仿宋_GB2312" w:cs="仿宋_GB2312"/>
        </w:rPr>
      </w:pPr>
      <w:r>
        <w:rPr>
          <w:rFonts w:hint="eastAsia" w:ascii="仿宋_GB2312" w:hAnsi="仿宋_GB2312" w:eastAsia="仿宋_GB2312" w:cs="仿宋_GB2312"/>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rPr>
      </w:pPr>
      <w:r>
        <w:rPr>
          <w:rFonts w:hint="eastAsia" w:ascii="仿宋_GB2312" w:hAnsi="仿宋_GB2312" w:eastAsia="仿宋_GB2312" w:cs="仿宋_GB2312"/>
        </w:rPr>
        <w:t>2.6 中标承判商：指经评标委员会评审推荐、采购方确认的获得本项目中标资格的竞投人。</w:t>
      </w:r>
    </w:p>
    <w:p>
      <w:pPr>
        <w:spacing w:line="400" w:lineRule="exact"/>
        <w:rPr>
          <w:rFonts w:ascii="仿宋_GB2312" w:hAnsi="仿宋_GB2312" w:eastAsia="仿宋_GB2312" w:cs="仿宋_GB2312"/>
        </w:rPr>
      </w:pPr>
      <w:r>
        <w:rPr>
          <w:rFonts w:hint="eastAsia" w:ascii="仿宋_GB2312" w:hAnsi="仿宋_GB2312" w:eastAsia="仿宋_GB2312" w:cs="仿宋_GB2312"/>
        </w:rPr>
        <w:t>2.7 合同：指依据本次服务竞投结果签订的协议。</w:t>
      </w:r>
    </w:p>
    <w:p>
      <w:pPr>
        <w:spacing w:line="400" w:lineRule="exact"/>
        <w:rPr>
          <w:rFonts w:ascii="仿宋_GB2312" w:hAnsi="宋体" w:eastAsia="仿宋_GB2312"/>
        </w:rPr>
      </w:pPr>
      <w:r>
        <w:rPr>
          <w:rFonts w:hint="eastAsia" w:ascii="仿宋_GB2312" w:hAnsi="宋体" w:eastAsia="仿宋_GB2312"/>
        </w:rPr>
        <w:t>2.8 日期：指公历日。</w:t>
      </w:r>
    </w:p>
    <w:p>
      <w:pPr>
        <w:spacing w:line="400" w:lineRule="exact"/>
        <w:rPr>
          <w:rFonts w:ascii="仿宋_GB2312" w:hAnsi="宋体" w:eastAsia="仿宋_GB2312"/>
        </w:rPr>
      </w:pPr>
      <w:r>
        <w:rPr>
          <w:rFonts w:hint="eastAsia" w:ascii="仿宋_GB2312" w:hAnsi="宋体" w:eastAsia="仿宋_GB2312"/>
        </w:rPr>
        <w:t>2.9 竞投适用法律：本次竞投适用的主要法律法规为《中华人民共和国招标投标法》及国家和地方政府竞投相关法规。</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3. 竞投费用</w:t>
      </w:r>
    </w:p>
    <w:p>
      <w:pPr>
        <w:spacing w:line="400" w:lineRule="exact"/>
        <w:rPr>
          <w:rFonts w:ascii="仿宋_GB2312" w:hAnsi="宋体" w:eastAsia="仿宋_GB2312"/>
        </w:rPr>
      </w:pPr>
      <w:r>
        <w:rPr>
          <w:rFonts w:hint="eastAsia" w:ascii="仿宋_GB2312" w:hAnsi="宋体" w:eastAsia="仿宋_GB2312"/>
        </w:rPr>
        <w:t>3.1 本采购项目不设竞投保证金。</w:t>
      </w:r>
    </w:p>
    <w:p>
      <w:pPr>
        <w:spacing w:line="400" w:lineRule="exact"/>
        <w:rPr>
          <w:rFonts w:ascii="仿宋_GB2312" w:hAnsi="宋体" w:eastAsia="仿宋_GB2312"/>
        </w:rPr>
      </w:pPr>
      <w:r>
        <w:rPr>
          <w:rFonts w:hint="eastAsia" w:ascii="仿宋_GB2312" w:hAnsi="宋体" w:eastAsia="仿宋_GB2312"/>
        </w:rPr>
        <w:t>3.2竞投人自行承担所有与编写和提交竞投文件的有关一切费用。</w:t>
      </w:r>
    </w:p>
    <w:p>
      <w:pPr>
        <w:spacing w:line="400" w:lineRule="exact"/>
        <w:rPr>
          <w:rFonts w:ascii="Calibri" w:hAnsi="Calibri"/>
        </w:rPr>
      </w:pPr>
    </w:p>
    <w:p>
      <w:pPr>
        <w:spacing w:line="400" w:lineRule="exact"/>
        <w:rPr>
          <w:rFonts w:ascii="仿宋_GB2312" w:hAnsi="宋体" w:eastAsia="仿宋_GB2312"/>
          <w:sz w:val="24"/>
        </w:rPr>
      </w:pPr>
      <w:r>
        <w:rPr>
          <w:rFonts w:hint="eastAsia" w:ascii="仿宋_GB2312" w:hAnsi="宋体" w:eastAsia="仿宋_GB2312"/>
          <w:sz w:val="24"/>
        </w:rPr>
        <w:t>二、竞投文件</w:t>
      </w:r>
    </w:p>
    <w:p>
      <w:pPr>
        <w:spacing w:line="400" w:lineRule="exact"/>
        <w:rPr>
          <w:rFonts w:ascii="仿宋_GB2312" w:hAnsi="宋体" w:eastAsia="仿宋_GB2312"/>
          <w:sz w:val="24"/>
        </w:rPr>
      </w:pPr>
      <w:r>
        <w:rPr>
          <w:rFonts w:hint="eastAsia" w:ascii="仿宋_GB2312" w:hAnsi="宋体" w:eastAsia="仿宋_GB2312"/>
          <w:sz w:val="24"/>
        </w:rPr>
        <w:t>4. 竞投文件的构成</w:t>
      </w:r>
    </w:p>
    <w:p>
      <w:pPr>
        <w:spacing w:line="400" w:lineRule="exact"/>
        <w:rPr>
          <w:rFonts w:ascii="仿宋_GB2312" w:hAnsi="宋体" w:eastAsia="仿宋_GB2312"/>
        </w:rPr>
      </w:pPr>
      <w:r>
        <w:rPr>
          <w:rFonts w:hint="eastAsia" w:ascii="仿宋_GB2312" w:hAnsi="宋体" w:eastAsia="仿宋_GB2312"/>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rPr>
      </w:pPr>
      <w:r>
        <w:rPr>
          <w:rFonts w:hint="eastAsia" w:ascii="仿宋_GB2312" w:hAnsi="宋体" w:eastAsia="仿宋_GB2312"/>
        </w:rPr>
        <w:t>4.2 竞投文件应装钉牢固不可拆卸，如因装钉不牢固导致的任何损失由竞投人承担。</w:t>
      </w:r>
    </w:p>
    <w:p>
      <w:pPr>
        <w:spacing w:line="400" w:lineRule="exact"/>
        <w:rPr>
          <w:rFonts w:ascii="仿宋_GB2312" w:hAnsi="宋体" w:eastAsia="仿宋_GB2312"/>
        </w:rPr>
      </w:pPr>
      <w:r>
        <w:rPr>
          <w:rFonts w:hint="eastAsia" w:ascii="仿宋_GB2312" w:hAnsi="宋体" w:eastAsia="仿宋_GB2312"/>
        </w:rPr>
        <w:t>4.3 所有竞投文件（除特殊规格的图纸等外）应按A4规格制作。</w:t>
      </w:r>
    </w:p>
    <w:p>
      <w:pPr>
        <w:spacing w:line="400" w:lineRule="exact"/>
        <w:rPr>
          <w:rFonts w:ascii="仿宋_GB2312" w:hAnsi="宋体" w:eastAsia="仿宋_GB2312"/>
        </w:rPr>
      </w:pPr>
      <w:r>
        <w:rPr>
          <w:rFonts w:hint="eastAsia" w:ascii="仿宋_GB2312" w:hAnsi="宋体" w:eastAsia="仿宋_GB2312"/>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rPr>
      </w:pPr>
      <w:r>
        <w:rPr>
          <w:rFonts w:hint="eastAsia" w:ascii="仿宋_GB2312" w:hAnsi="仿宋_GB2312" w:eastAsia="仿宋_GB2312" w:cs="仿宋_GB2312"/>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rPr>
      </w:pPr>
      <w:r>
        <w:rPr>
          <w:rFonts w:hint="eastAsia" w:ascii="仿宋_GB2312" w:hAnsi="仿宋_GB2312" w:eastAsia="仿宋_GB2312" w:cs="仿宋_GB2312"/>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rPr>
      </w:pPr>
      <w:r>
        <w:rPr>
          <w:rFonts w:hint="eastAsia" w:ascii="仿宋_GB2312" w:hAnsi="仿宋_GB2312" w:eastAsia="仿宋_GB2312" w:cs="仿宋_GB2312"/>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 竞选文件的修改与撤回</w:t>
      </w:r>
    </w:p>
    <w:p>
      <w:pPr>
        <w:spacing w:line="400" w:lineRule="exact"/>
        <w:rPr>
          <w:rFonts w:ascii="仿宋_GB2312" w:hAnsi="仿宋_GB2312" w:eastAsia="仿宋_GB2312" w:cs="仿宋_GB2312"/>
        </w:rPr>
      </w:pPr>
      <w:r>
        <w:rPr>
          <w:rFonts w:hint="eastAsia" w:ascii="仿宋_GB2312" w:hAnsi="仿宋_GB2312" w:eastAsia="仿宋_GB2312" w:cs="仿宋_GB2312"/>
        </w:rPr>
        <w:t>5.1 在竞投截止时间之前，竞投人可以修改或撤回其竞投文件，但须书面通知采购方。</w:t>
      </w:r>
    </w:p>
    <w:p>
      <w:pPr>
        <w:spacing w:line="400" w:lineRule="exact"/>
        <w:rPr>
          <w:rFonts w:ascii="仿宋_GB2312" w:hAnsi="仿宋_GB2312" w:eastAsia="仿宋_GB2312" w:cs="仿宋_GB2312"/>
        </w:rPr>
      </w:pPr>
      <w:r>
        <w:rPr>
          <w:rFonts w:hint="eastAsia" w:ascii="仿宋_GB2312" w:hAnsi="仿宋_GB2312" w:eastAsia="仿宋_GB2312" w:cs="仿宋_GB2312"/>
        </w:rPr>
        <w:t>5.2 在竞投截止时间之后，采购方不接受竞投人对竞投文件做任何修改及撤回。</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三、竞投文件的编制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 竞投语言及计量</w:t>
      </w:r>
    </w:p>
    <w:p>
      <w:pPr>
        <w:spacing w:line="400" w:lineRule="exact"/>
        <w:rPr>
          <w:rFonts w:ascii="仿宋_GB2312" w:hAnsi="仿宋_GB2312" w:eastAsia="仿宋_GB2312" w:cs="仿宋_GB2312"/>
        </w:rPr>
      </w:pPr>
      <w:r>
        <w:rPr>
          <w:rFonts w:hint="eastAsia" w:ascii="仿宋_GB2312" w:hAnsi="仿宋_GB2312" w:eastAsia="仿宋_GB2312" w:cs="仿宋_GB2312"/>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6.3 竞投人须按照竞选文件指定的格式填写各种价格单，价格单中的报价应计算正确。</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 竞投文件内容</w:t>
      </w:r>
    </w:p>
    <w:p>
      <w:pPr>
        <w:spacing w:line="400" w:lineRule="exact"/>
        <w:rPr>
          <w:rFonts w:ascii="仿宋_GB2312" w:hAnsi="仿宋_GB2312" w:eastAsia="仿宋_GB2312" w:cs="仿宋_GB2312"/>
        </w:rPr>
      </w:pPr>
      <w:r>
        <w:rPr>
          <w:rFonts w:hint="eastAsia" w:ascii="仿宋_GB2312" w:hAnsi="仿宋_GB2312" w:eastAsia="仿宋_GB2312" w:cs="仿宋_GB2312"/>
        </w:rPr>
        <w:t>7.1 竞投人编写的竞投文件及排序应包括下列部分：</w:t>
      </w:r>
    </w:p>
    <w:p>
      <w:pPr>
        <w:spacing w:line="400" w:lineRule="exact"/>
        <w:rPr>
          <w:rFonts w:ascii="仿宋_GB2312" w:hAnsi="仿宋_GB2312" w:eastAsia="仿宋_GB2312" w:cs="仿宋_GB2312"/>
        </w:rPr>
      </w:pPr>
      <w:r>
        <w:rPr>
          <w:rFonts w:hint="eastAsia" w:ascii="仿宋_GB2312" w:hAnsi="仿宋_GB2312" w:eastAsia="仿宋_GB2312" w:cs="仿宋_GB2312"/>
        </w:rPr>
        <w:t>1）竞投人公司资质等相关证明文件；</w:t>
      </w:r>
    </w:p>
    <w:p>
      <w:pPr>
        <w:spacing w:line="400" w:lineRule="exact"/>
        <w:rPr>
          <w:rFonts w:ascii="仿宋_GB2312" w:hAnsi="仿宋_GB2312" w:eastAsia="仿宋_GB2312" w:cs="仿宋_GB2312"/>
        </w:rPr>
      </w:pPr>
      <w:r>
        <w:rPr>
          <w:rFonts w:hint="eastAsia" w:ascii="仿宋_GB2312" w:hAnsi="仿宋_GB2312" w:eastAsia="仿宋_GB2312" w:cs="仿宋_GB2312"/>
        </w:rPr>
        <w:t>（2）竞投报价执行清单（参考附件5）；</w:t>
      </w:r>
    </w:p>
    <w:p>
      <w:pPr>
        <w:spacing w:line="400" w:lineRule="exact"/>
        <w:rPr>
          <w:rFonts w:ascii="仿宋_GB2312" w:hAnsi="仿宋_GB2312" w:eastAsia="仿宋_GB2312" w:cs="仿宋_GB2312"/>
        </w:rPr>
      </w:pPr>
      <w:r>
        <w:rPr>
          <w:rFonts w:hint="eastAsia" w:ascii="仿宋_GB2312" w:hAnsi="仿宋_GB2312" w:eastAsia="仿宋_GB2312" w:cs="仿宋_GB2312"/>
        </w:rPr>
        <w:t>（3）服务响应文件，包括但不限于以下内容：</w:t>
      </w:r>
    </w:p>
    <w:p>
      <w:pPr>
        <w:spacing w:line="400" w:lineRule="exact"/>
        <w:rPr>
          <w:rFonts w:ascii="仿宋_GB2312" w:hAnsi="仿宋_GB2312" w:eastAsia="仿宋_GB2312" w:cs="仿宋_GB2312"/>
        </w:rPr>
      </w:pPr>
      <w:r>
        <w:rPr>
          <w:rFonts w:hint="eastAsia" w:ascii="仿宋_GB2312" w:hAnsi="仿宋_GB2312" w:eastAsia="仿宋_GB2312" w:cs="仿宋_GB2312"/>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rPr>
      </w:pPr>
      <w:r>
        <w:rPr>
          <w:rFonts w:hint="eastAsia" w:ascii="仿宋_GB2312" w:hAnsi="仿宋_GB2312" w:eastAsia="仿宋_GB2312" w:cs="仿宋_GB2312"/>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4445" t="4445" r="19050" b="209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项目名称：城隽雅苑北区线上媒体推广服务项目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swWJ1wAAAAcBAAAPAAAAAAAAAAEAIAAAACIAAABkcnMvZG93bnJldi54bWxQSwECFAAUAAAA&#10;CACHTuJAdc80qigCAAA6BAAADgAAAAAAAAABACAAAAAmAQAAZHJzL2Uyb0RvYy54bWxQSwUGAAAA&#10;AAYABgBZAQAAwAU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项目名称：城隽雅苑北区线上媒体推广服务项目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（1）递交地点：广州市越秀区广电城投686产业园22楼。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（2）竞投文件递交受理时间于2023年</w:t>
      </w:r>
      <w:bookmarkStart w:id="17" w:name="_GoBack"/>
      <w:bookmarkEnd w:id="17"/>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27</w:t>
      </w:r>
      <w:r>
        <w:rPr>
          <w:rFonts w:hint="eastAsia" w:ascii="仿宋_GB2312" w:hAnsi="仿宋_GB2312" w:eastAsia="仿宋_GB2312" w:cs="仿宋_GB2312"/>
          <w:szCs w:val="21"/>
        </w:rPr>
        <w:t>日上午10：00截止；逾期不予受理。</w:t>
      </w:r>
    </w:p>
    <w:p/>
    <w:p/>
    <w:p/>
    <w:p>
      <w:bookmarkStart w:id="10" w:name="_Toc428434793"/>
      <w:bookmarkStart w:id="11" w:name="_Toc427828529"/>
      <w:r>
        <w:rPr>
          <w:rFonts w:ascii="仿宋" w:hAnsi="仿宋" w:eastAsia="仿宋" w:cs="仿宋"/>
          <w:sz w:val="32"/>
          <w:szCs w:val="32"/>
        </w:rPr>
        <w:br w:type="page"/>
      </w:r>
      <w:bookmarkEnd w:id="10"/>
      <w:bookmarkEnd w:id="11"/>
      <w:r>
        <w:rPr>
          <w:rFonts w:hint="eastAsia" w:ascii="仿宋" w:hAnsi="仿宋" w:eastAsia="仿宋" w:cs="仿宋"/>
          <w:sz w:val="32"/>
          <w:szCs w:val="32"/>
        </w:rPr>
        <w:t>三</w:t>
      </w:r>
      <w:r>
        <w:rPr>
          <w:rFonts w:hint="eastAsia" w:ascii="仿宋_GB2312" w:eastAsia="仿宋_GB2312"/>
          <w:b/>
          <w:sz w:val="32"/>
          <w:szCs w:val="32"/>
        </w:rPr>
        <w:t>、评审/选定方法及标准</w:t>
      </w:r>
    </w:p>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bCs/>
                <w:szCs w:val="21"/>
              </w:rPr>
            </w:pPr>
            <w:r>
              <w:rPr>
                <w:rFonts w:hint="eastAsia" w:ascii="仿宋_GB2312" w:hAnsi="宋体" w:eastAsia="仿宋_GB2312"/>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Cs/>
                <w:szCs w:val="21"/>
              </w:rPr>
            </w:pPr>
            <w:r>
              <w:rPr>
                <w:rFonts w:hint="eastAsia" w:ascii="仿宋_GB2312" w:hAnsi="宋体" w:eastAsia="仿宋_GB2312"/>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bCs/>
                <w:szCs w:val="21"/>
              </w:rPr>
            </w:pPr>
            <w:r>
              <w:rPr>
                <w:rFonts w:hint="eastAsia" w:ascii="仿宋_GB2312" w:hAnsi="宋体" w:eastAsia="仿宋_GB2312"/>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 评审小组将根据采购文件的规定，对各竞投文件进行资格及符合性审查。（具体审查标准见后附表）</w:t>
            </w:r>
          </w:p>
          <w:p>
            <w:pPr>
              <w:widowControl/>
              <w:spacing w:line="400" w:lineRule="exact"/>
              <w:rPr>
                <w:rFonts w:ascii="仿宋_GB2312" w:hAnsi="宋体" w:eastAsia="仿宋_GB2312"/>
                <w:szCs w:val="21"/>
              </w:rPr>
            </w:pPr>
            <w:r>
              <w:rPr>
                <w:rFonts w:hint="eastAsia" w:ascii="仿宋_GB2312" w:hAnsi="宋体" w:eastAsia="仿宋_GB2312"/>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szCs w:val="21"/>
              </w:rPr>
            </w:pPr>
            <w:r>
              <w:rPr>
                <w:rFonts w:hint="eastAsia" w:ascii="仿宋_GB2312" w:hAnsi="宋体" w:eastAsia="仿宋_GB2312"/>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评审标准</w:t>
            </w:r>
          </w:p>
          <w:p>
            <w:pPr>
              <w:spacing w:line="400" w:lineRule="exact"/>
              <w:jc w:val="center"/>
              <w:rPr>
                <w:rFonts w:ascii="仿宋_GB2312" w:hAnsi="宋体" w:eastAsia="仿宋_GB2312"/>
                <w:szCs w:val="21"/>
              </w:rPr>
            </w:pPr>
            <w:r>
              <w:rPr>
                <w:rFonts w:hint="eastAsia" w:ascii="仿宋_GB2312" w:hAnsi="宋体" w:eastAsia="仿宋_GB2312"/>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4.经济评分：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szCs w:val="21"/>
              </w:rPr>
            </w:pPr>
            <w:r>
              <w:rPr>
                <w:rFonts w:hint="eastAsia" w:ascii="仿宋_GB2312" w:hAnsi="宋体" w:eastAsia="仿宋_GB2312"/>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商务评分+项目方案评分+经济评分=综合得分。评委根据竞投人综合得分高低排定名次。</w:t>
            </w:r>
          </w:p>
          <w:p>
            <w:pPr>
              <w:widowControl/>
              <w:spacing w:line="400" w:lineRule="exact"/>
              <w:rPr>
                <w:rFonts w:ascii="仿宋_GB2312" w:hAnsi="宋体" w:eastAsia="仿宋_GB2312"/>
                <w:szCs w:val="21"/>
              </w:rPr>
            </w:pPr>
            <w:r>
              <w:rPr>
                <w:rFonts w:hint="eastAsia" w:ascii="仿宋_GB2312" w:hAnsi="宋体" w:eastAsia="仿宋_GB2312"/>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szCs w:val="21"/>
              </w:rPr>
            </w:pPr>
            <w:r>
              <w:rPr>
                <w:rFonts w:hint="eastAsia" w:ascii="仿宋_GB2312" w:hAnsi="宋体" w:eastAsia="仿宋_GB2312"/>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商务评分情况</w:t>
            </w:r>
            <w:r>
              <w:rPr>
                <w:rFonts w:hint="eastAsia" w:ascii="仿宋_GB2312" w:hAnsi="宋体" w:eastAsia="仿宋_GB2312"/>
                <w:szCs w:val="21"/>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tbl>
    <w:p>
      <w:pPr>
        <w:rPr>
          <w:rFonts w:ascii="仿宋" w:hAnsi="仿宋" w:eastAsia="仿宋"/>
        </w:rPr>
      </w:pPr>
    </w:p>
    <w:p>
      <w:pPr>
        <w:rPr>
          <w:rFonts w:ascii="仿宋" w:hAnsi="仿宋" w:eastAsia="仿宋"/>
        </w:rPr>
      </w:pPr>
    </w:p>
    <w:bookmarkEnd w:id="5"/>
    <w:bookmarkEnd w:id="6"/>
    <w:bookmarkEnd w:id="7"/>
    <w:bookmarkEnd w:id="8"/>
    <w:bookmarkEnd w:id="9"/>
    <w:p>
      <w:pPr>
        <w:keepNext/>
        <w:keepLines/>
        <w:spacing w:before="260" w:after="260" w:line="400" w:lineRule="exact"/>
        <w:outlineLvl w:val="1"/>
        <w:rPr>
          <w:rFonts w:ascii="宋体" w:hAnsi="宋体" w:eastAsia="黑体" w:cs="宋体"/>
          <w:sz w:val="24"/>
        </w:rPr>
      </w:pPr>
      <w:bookmarkStart w:id="12" w:name="_Toc334797765"/>
      <w:r>
        <w:rPr>
          <w:rFonts w:ascii="仿宋" w:hAnsi="仿宋" w:eastAsia="仿宋"/>
          <w:sz w:val="24"/>
        </w:rPr>
        <w:br w:type="page"/>
      </w:r>
      <w:bookmarkEnd w:id="12"/>
      <w:bookmarkStart w:id="13" w:name="OLE_LINK2"/>
      <w:bookmarkStart w:id="14" w:name="OLE_LINK3"/>
      <w:r>
        <w:rPr>
          <w:rFonts w:hint="eastAsia" w:ascii="宋体" w:hAnsi="宋体" w:eastAsia="黑体" w:cs="宋体"/>
          <w:sz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符合性检查表</w:t>
      </w:r>
    </w:p>
    <w:p>
      <w:pPr>
        <w:wordWrap w:val="0"/>
        <w:jc w:val="right"/>
        <w:rPr>
          <w:rFonts w:ascii="Calibri" w:hAnsi="Calibri"/>
        </w:rPr>
      </w:pPr>
      <w:r>
        <w:rPr>
          <w:rFonts w:hint="eastAsia" w:ascii="Calibri" w:hAnsi="Calibri"/>
        </w:rPr>
        <w:t xml:space="preserve">项目名称：              </w:t>
      </w:r>
    </w:p>
    <w:p>
      <w:pPr>
        <w:jc w:val="right"/>
        <w:rPr>
          <w:rFonts w:ascii="Calibri" w:hAnsi="Calibri"/>
        </w:rPr>
      </w:pPr>
      <w:r>
        <w:rPr>
          <w:rFonts w:hint="eastAsia" w:ascii="Calibri" w:hAnsi="Calibri"/>
        </w:rPr>
        <w:t>日期：    年  月   日</w:t>
      </w:r>
    </w:p>
    <w:tbl>
      <w:tblPr>
        <w:tblStyle w:val="11"/>
        <w:tblW w:w="9534" w:type="dxa"/>
        <w:tblInd w:w="-1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4820" w:type="dxa"/>
            <w:vAlign w:val="center"/>
          </w:tcPr>
          <w:p>
            <w:pPr>
              <w:spacing w:line="400" w:lineRule="exact"/>
              <w:jc w:val="center"/>
              <w:rPr>
                <w:rFonts w:ascii="仿宋_GB2312" w:hAnsi="宋体" w:eastAsia="仿宋_GB2312"/>
                <w:szCs w:val="21"/>
              </w:rPr>
            </w:pPr>
            <w:r>
              <w:rPr>
                <w:rFonts w:hint="eastAsia" w:ascii="仿宋_GB2312" w:hAnsi="宋体" w:eastAsia="仿宋_GB2312"/>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4820" w:type="dxa"/>
            <w:vAlign w:val="center"/>
          </w:tcPr>
          <w:p>
            <w:pPr>
              <w:spacing w:line="400" w:lineRule="exact"/>
              <w:rPr>
                <w:rFonts w:ascii="仿宋_GB2312" w:hAnsi="宋体"/>
                <w:szCs w:val="21"/>
              </w:rPr>
            </w:pPr>
            <w:r>
              <w:rPr>
                <w:rFonts w:hint="eastAsia" w:ascii="仿宋_GB2312" w:hAnsi="宋体" w:eastAsia="仿宋_GB2312"/>
                <w:szCs w:val="21"/>
              </w:rPr>
              <w:t>有效法人证明书及授权委托书。</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结论（通过/不通过）</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bl>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竞投人分栏中填写“√”表示该项符合竞投文件要求，“×”表示该项目不符合竞投文件要求。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结论栏中填写“通过”表示该竞投人竞投文件符合要求，“×”表示该竞投人竞投文件不符合要求。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szCs w:val="21"/>
        </w:rPr>
      </w:pPr>
    </w:p>
    <w:p>
      <w:pPr>
        <w:spacing w:line="400" w:lineRule="exact"/>
        <w:rPr>
          <w:rFonts w:ascii="仿宋_GB2312" w:hAnsi="宋体" w:eastAsia="仿宋_GB2312" w:cs="宋体"/>
          <w:b/>
          <w:bCs/>
          <w:sz w:val="30"/>
          <w:szCs w:val="30"/>
        </w:rPr>
      </w:pPr>
      <w:r>
        <w:rPr>
          <w:rFonts w:hint="eastAsia" w:ascii="仿宋_GB2312" w:hAnsi="宋体" w:eastAsia="仿宋_GB2312"/>
          <w:szCs w:val="21"/>
        </w:rPr>
        <w:t>评委签名：</w:t>
      </w:r>
    </w:p>
    <w:p>
      <w:pPr>
        <w:spacing w:line="400" w:lineRule="exact"/>
        <w:rPr>
          <w:rFonts w:ascii="仿宋_GB2312" w:hAnsi="宋体" w:eastAsia="仿宋_GB2312" w:cs="宋体"/>
          <w:b/>
          <w:bCs/>
          <w:sz w:val="30"/>
          <w:szCs w:val="30"/>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3"/>
    <w:bookmarkEnd w:id="14"/>
    <w:tbl>
      <w:tblPr>
        <w:tblStyle w:val="11"/>
        <w:tblW w:w="5353" w:type="pct"/>
        <w:tblInd w:w="-601" w:type="dxa"/>
        <w:tblLayout w:type="autofit"/>
        <w:tblCellMar>
          <w:top w:w="0" w:type="dxa"/>
          <w:left w:w="108" w:type="dxa"/>
          <w:bottom w:w="0" w:type="dxa"/>
          <w:right w:w="108" w:type="dxa"/>
        </w:tblCellMar>
      </w:tblPr>
      <w:tblGrid>
        <w:gridCol w:w="845"/>
        <w:gridCol w:w="566"/>
        <w:gridCol w:w="938"/>
        <w:gridCol w:w="812"/>
        <w:gridCol w:w="4921"/>
        <w:gridCol w:w="1042"/>
      </w:tblGrid>
      <w:tr>
        <w:tblPrEx>
          <w:tblCellMar>
            <w:top w:w="0" w:type="dxa"/>
            <w:left w:w="108" w:type="dxa"/>
            <w:bottom w:w="0" w:type="dxa"/>
            <w:right w:w="108" w:type="dxa"/>
          </w:tblCellMar>
        </w:tblPrEx>
        <w:trPr>
          <w:trHeight w:val="556" w:hRule="atLeast"/>
        </w:trPr>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3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4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26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_GB2312" w:hAnsi="仿宋_GB2312" w:eastAsia="仿宋_GB2312" w:cs="仿宋_GB2312"/>
                <w:bCs/>
                <w:sz w:val="24"/>
              </w:rPr>
              <w:t>评审标准</w:t>
            </w:r>
          </w:p>
        </w:tc>
        <w:tc>
          <w:tcPr>
            <w:tcW w:w="571"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得分</w:t>
            </w:r>
          </w:p>
        </w:tc>
      </w:tr>
      <w:tr>
        <w:tblPrEx>
          <w:tblCellMar>
            <w:top w:w="0" w:type="dxa"/>
            <w:left w:w="108" w:type="dxa"/>
            <w:bottom w:w="0" w:type="dxa"/>
            <w:right w:w="108" w:type="dxa"/>
          </w:tblCellMar>
        </w:tblPrEx>
        <w:trPr>
          <w:trHeight w:val="829" w:hRule="atLeast"/>
        </w:trPr>
        <w:tc>
          <w:tcPr>
            <w:tcW w:w="46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价格评分</w:t>
            </w:r>
          </w:p>
        </w:tc>
        <w:tc>
          <w:tcPr>
            <w:tcW w:w="3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5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50分</w:t>
            </w:r>
          </w:p>
        </w:tc>
        <w:tc>
          <w:tcPr>
            <w:tcW w:w="269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571"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982" w:hRule="atLeast"/>
        </w:trPr>
        <w:tc>
          <w:tcPr>
            <w:tcW w:w="46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3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5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69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公司资信情况良好，服务过同类性质项目，每提供相应合同或中标通知书等相关证明文件获得2分，最高得10分。</w:t>
            </w:r>
          </w:p>
        </w:tc>
        <w:tc>
          <w:tcPr>
            <w:tcW w:w="571"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842" w:hRule="atLeast"/>
        </w:trPr>
        <w:tc>
          <w:tcPr>
            <w:tcW w:w="463"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310"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35</w:t>
            </w:r>
          </w:p>
        </w:tc>
        <w:tc>
          <w:tcPr>
            <w:tcW w:w="5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线上推广方案</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69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线上推广方案内容符合现在销售阶段需求，适合项目阶段性使用，客户标签精准7-10分</w:t>
            </w:r>
          </w:p>
          <w:p>
            <w:pPr>
              <w:widowControl/>
              <w:jc w:val="left"/>
              <w:rPr>
                <w:rFonts w:ascii="仿宋" w:hAnsi="仿宋" w:eastAsia="仿宋" w:cs="宋体"/>
                <w:kern w:val="0"/>
                <w:szCs w:val="21"/>
              </w:rPr>
            </w:pPr>
            <w:r>
              <w:rPr>
                <w:rFonts w:hint="eastAsia" w:ascii="仿宋" w:hAnsi="仿宋" w:eastAsia="仿宋" w:cs="宋体"/>
                <w:kern w:val="0"/>
                <w:szCs w:val="21"/>
              </w:rPr>
              <w:t>线上推广方案内容较符合现在销售阶段需求，较适合项目阶段性使用，客户标签较精准4-6分</w:t>
            </w:r>
          </w:p>
          <w:p>
            <w:pPr>
              <w:widowControl/>
              <w:jc w:val="left"/>
              <w:rPr>
                <w:rFonts w:ascii="仿宋" w:hAnsi="仿宋" w:eastAsia="仿宋" w:cs="宋体"/>
                <w:kern w:val="0"/>
                <w:szCs w:val="21"/>
              </w:rPr>
            </w:pPr>
            <w:r>
              <w:rPr>
                <w:rFonts w:hint="eastAsia" w:ascii="仿宋" w:hAnsi="仿宋" w:eastAsia="仿宋" w:cs="宋体"/>
                <w:kern w:val="0"/>
                <w:szCs w:val="21"/>
              </w:rPr>
              <w:t>线上推广方案内容对销售阶段需求结合度一般，经过调整可适合项目阶段性使用，且对资源整合能力较弱，客户标签精准度一般0-3分</w:t>
            </w:r>
          </w:p>
        </w:tc>
        <w:tc>
          <w:tcPr>
            <w:tcW w:w="571"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376" w:hRule="atLeast"/>
        </w:trPr>
        <w:tc>
          <w:tcPr>
            <w:tcW w:w="463"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310"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5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资源整合能力</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69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线上推广资源能力强，资源内容丰富，符合推广需求 7-10 分</w:t>
            </w:r>
          </w:p>
          <w:p>
            <w:pPr>
              <w:widowControl/>
              <w:jc w:val="left"/>
              <w:rPr>
                <w:rFonts w:ascii="仿宋" w:hAnsi="仿宋" w:eastAsia="仿宋" w:cs="宋体"/>
                <w:kern w:val="0"/>
                <w:szCs w:val="21"/>
              </w:rPr>
            </w:pPr>
            <w:r>
              <w:rPr>
                <w:rFonts w:hint="eastAsia" w:ascii="仿宋" w:hAnsi="仿宋" w:eastAsia="仿宋" w:cs="宋体"/>
                <w:kern w:val="0"/>
                <w:szCs w:val="21"/>
              </w:rPr>
              <w:t>线上推广资源能力较强，资源内容较丰富较，符合推广需求 4-6 分</w:t>
            </w:r>
          </w:p>
          <w:p>
            <w:pPr>
              <w:widowControl/>
              <w:jc w:val="left"/>
              <w:rPr>
                <w:rFonts w:ascii="仿宋" w:hAnsi="仿宋" w:eastAsia="仿宋" w:cs="宋体"/>
                <w:kern w:val="0"/>
                <w:szCs w:val="21"/>
              </w:rPr>
            </w:pPr>
            <w:r>
              <w:rPr>
                <w:rFonts w:hint="eastAsia" w:ascii="仿宋" w:hAnsi="仿宋" w:eastAsia="仿宋" w:cs="宋体"/>
                <w:kern w:val="0"/>
                <w:szCs w:val="21"/>
              </w:rPr>
              <w:t>线上推广资源能力及内容较普通或不全 0-3 分</w:t>
            </w:r>
          </w:p>
        </w:tc>
        <w:tc>
          <w:tcPr>
            <w:tcW w:w="571"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495" w:hRule="atLeast"/>
        </w:trPr>
        <w:tc>
          <w:tcPr>
            <w:tcW w:w="463" w:type="pct"/>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310" w:type="pct"/>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93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推广内容建议方案</w:t>
            </w:r>
          </w:p>
        </w:tc>
        <w:tc>
          <w:tcPr>
            <w:tcW w:w="8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4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推广内容建议方案贴合项目产品性质与形象，宣传内容丰富，符合推广需求 7-10 分</w:t>
            </w:r>
          </w:p>
          <w:p>
            <w:pPr>
              <w:widowControl/>
              <w:jc w:val="left"/>
              <w:rPr>
                <w:rFonts w:ascii="仿宋" w:hAnsi="仿宋" w:eastAsia="仿宋" w:cs="宋体"/>
                <w:kern w:val="0"/>
                <w:szCs w:val="21"/>
              </w:rPr>
            </w:pPr>
            <w:r>
              <w:rPr>
                <w:rFonts w:hint="eastAsia" w:ascii="仿宋" w:hAnsi="仿宋" w:eastAsia="仿宋" w:cs="宋体"/>
                <w:kern w:val="0"/>
                <w:szCs w:val="21"/>
              </w:rPr>
              <w:t>推广内容建议方案较贴合项目产品性质与形象，宣传较内容丰富，较符合推广需求 4-6 分</w:t>
            </w:r>
          </w:p>
          <w:p>
            <w:pPr>
              <w:widowControl/>
              <w:jc w:val="left"/>
              <w:rPr>
                <w:rFonts w:ascii="仿宋" w:hAnsi="仿宋" w:eastAsia="仿宋" w:cs="宋体"/>
                <w:kern w:val="0"/>
                <w:szCs w:val="21"/>
              </w:rPr>
            </w:pPr>
            <w:r>
              <w:rPr>
                <w:rFonts w:hint="eastAsia" w:ascii="仿宋" w:hAnsi="仿宋" w:eastAsia="仿宋" w:cs="宋体"/>
                <w:kern w:val="0"/>
                <w:szCs w:val="21"/>
              </w:rPr>
              <w:t>推广内容建议方案较普通，部分符合项目推广需求 0-3 分</w:t>
            </w:r>
          </w:p>
        </w:tc>
        <w:tc>
          <w:tcPr>
            <w:tcW w:w="571"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274" w:hRule="atLeast"/>
        </w:trPr>
        <w:tc>
          <w:tcPr>
            <w:tcW w:w="463"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0"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514"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效果反馈监测方案</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269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效果监测方案完善5 分</w:t>
            </w:r>
          </w:p>
          <w:p>
            <w:pPr>
              <w:widowControl/>
              <w:jc w:val="left"/>
              <w:rPr>
                <w:rFonts w:ascii="仿宋" w:hAnsi="仿宋" w:eastAsia="仿宋" w:cs="宋体"/>
                <w:kern w:val="0"/>
                <w:szCs w:val="21"/>
              </w:rPr>
            </w:pPr>
            <w:r>
              <w:rPr>
                <w:rFonts w:hint="eastAsia" w:ascii="仿宋" w:hAnsi="仿宋" w:eastAsia="仿宋" w:cs="宋体"/>
                <w:kern w:val="0"/>
                <w:szCs w:val="21"/>
              </w:rPr>
              <w:t>效果监测方案较完善，3-4 分</w:t>
            </w:r>
          </w:p>
          <w:p>
            <w:pPr>
              <w:widowControl/>
              <w:jc w:val="left"/>
              <w:rPr>
                <w:rFonts w:ascii="仿宋" w:hAnsi="仿宋" w:eastAsia="仿宋" w:cs="宋体"/>
                <w:kern w:val="0"/>
                <w:szCs w:val="21"/>
              </w:rPr>
            </w:pPr>
            <w:r>
              <w:rPr>
                <w:rFonts w:hint="eastAsia" w:ascii="仿宋" w:hAnsi="仿宋" w:eastAsia="仿宋" w:cs="宋体"/>
                <w:kern w:val="0"/>
                <w:szCs w:val="21"/>
              </w:rPr>
              <w:t>效果监测方案缺乏完善， 0-2 分</w:t>
            </w:r>
          </w:p>
        </w:tc>
        <w:tc>
          <w:tcPr>
            <w:tcW w:w="571"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829" w:hRule="atLeast"/>
        </w:trPr>
        <w:tc>
          <w:tcPr>
            <w:tcW w:w="46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3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51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269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具有独家资源优势或可提供其他额外增值服务，根据服务内容给予 0-5 分</w:t>
            </w:r>
          </w:p>
        </w:tc>
        <w:tc>
          <w:tcPr>
            <w:tcW w:w="571"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565" w:hRule="atLeast"/>
        </w:trPr>
        <w:tc>
          <w:tcPr>
            <w:tcW w:w="128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44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2696"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71"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keepNext/>
        <w:keepLines/>
        <w:spacing w:before="260" w:after="260" w:line="400" w:lineRule="exact"/>
        <w:jc w:val="center"/>
        <w:outlineLvl w:val="1"/>
        <w:rPr>
          <w:rFonts w:ascii="宋体" w:hAnsi="宋体" w:cs="宋体"/>
          <w:b/>
          <w:sz w:val="32"/>
          <w:szCs w:val="32"/>
        </w:rPr>
      </w:pPr>
    </w:p>
    <w:p>
      <w:pPr>
        <w:keepNext/>
        <w:keepLines/>
        <w:spacing w:before="260" w:after="260" w:line="400" w:lineRule="exact"/>
        <w:outlineLvl w:val="1"/>
        <w:rPr>
          <w:rFonts w:ascii="宋体" w:hAnsi="宋体" w:cs="宋体"/>
          <w:b/>
          <w:sz w:val="32"/>
          <w:szCs w:val="32"/>
        </w:rPr>
      </w:pPr>
    </w:p>
    <w:p>
      <w:pPr>
        <w:keepNext/>
        <w:keepLines/>
        <w:spacing w:before="260" w:after="260" w:line="400" w:lineRule="exact"/>
        <w:jc w:val="center"/>
        <w:outlineLvl w:val="1"/>
        <w:rPr>
          <w:rFonts w:ascii="宋体" w:hAnsi="宋体" w:cs="宋体"/>
          <w:b/>
          <w:sz w:val="32"/>
          <w:szCs w:val="32"/>
        </w:rPr>
      </w:pPr>
      <w:r>
        <w:rPr>
          <w:rFonts w:hint="eastAsia" w:ascii="宋体" w:hAnsi="宋体" w:cs="宋体"/>
          <w:b/>
          <w:sz w:val="32"/>
          <w:szCs w:val="32"/>
        </w:rPr>
        <w:t>综合评审汇总表</w:t>
      </w:r>
    </w:p>
    <w:tbl>
      <w:tblPr>
        <w:tblStyle w:val="11"/>
        <w:tblW w:w="10275"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393"/>
        <w:gridCol w:w="139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技术得分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72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bl>
    <w:p>
      <w:pPr>
        <w:rPr>
          <w:rFonts w:ascii="Calibri" w:hAnsi="Calibri"/>
        </w:rPr>
      </w:pPr>
    </w:p>
    <w:p>
      <w:pPr>
        <w:rPr>
          <w:rFonts w:ascii="Calibri" w:hAnsi="Calibri"/>
        </w:rPr>
      </w:pPr>
      <w:r>
        <w:rPr>
          <w:rFonts w:hint="eastAsia" w:ascii="Calibri" w:hAnsi="Calibri"/>
        </w:rPr>
        <w:t>评委签名：</w:t>
      </w:r>
    </w:p>
    <w:p>
      <w:pPr>
        <w:rPr>
          <w:rFonts w:ascii="仿宋" w:hAnsi="仿宋" w:eastAsia="仿宋"/>
          <w:b/>
          <w:sz w:val="32"/>
          <w:szCs w:val="32"/>
        </w:rPr>
      </w:pPr>
      <w:r>
        <w:rPr>
          <w:rFonts w:ascii="Calibri" w:hAnsi="Calibri"/>
          <w:sz w:val="36"/>
          <w:szCs w:val="36"/>
        </w:rPr>
        <w:br w:type="page"/>
      </w:r>
      <w:r>
        <w:rPr>
          <w:rFonts w:hint="eastAsia" w:ascii="仿宋" w:hAnsi="仿宋" w:eastAsia="仿宋"/>
          <w:b/>
          <w:sz w:val="32"/>
          <w:szCs w:val="32"/>
        </w:rPr>
        <w:t>四、采购合同/协议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城隽雅苑项目</w:t>
      </w:r>
    </w:p>
    <w:p>
      <w:pPr>
        <w:spacing w:line="360" w:lineRule="auto"/>
        <w:jc w:val="center"/>
        <w:rPr>
          <w:b/>
          <w:sz w:val="44"/>
          <w:szCs w:val="44"/>
        </w:rPr>
      </w:pPr>
      <w:r>
        <w:rPr>
          <w:rFonts w:hint="eastAsia"/>
          <w:b/>
          <w:sz w:val="44"/>
          <w:szCs w:val="44"/>
        </w:rPr>
        <w:t>线上媒体推广服务合同</w:t>
      </w:r>
    </w:p>
    <w:p>
      <w:pPr>
        <w:spacing w:line="360" w:lineRule="auto"/>
        <w:jc w:val="center"/>
        <w:rPr>
          <w:b/>
          <w:sz w:val="44"/>
          <w:szCs w:val="44"/>
        </w:rPr>
      </w:pPr>
    </w:p>
    <w:p>
      <w:pPr>
        <w:widowControl/>
        <w:ind w:firstLine="283" w:firstLineChars="64"/>
        <w:rPr>
          <w:rFonts w:ascii="仿宋" w:hAnsi="仿宋" w:eastAsia="仿宋"/>
          <w:b/>
          <w:sz w:val="28"/>
        </w:rPr>
      </w:pPr>
      <w:r>
        <w:rPr>
          <w:b/>
          <w:sz w:val="44"/>
          <w:szCs w:val="44"/>
        </w:rPr>
        <w:br w:type="page"/>
      </w:r>
      <w:r>
        <w:rPr>
          <w:rFonts w:hint="eastAsia" w:ascii="仿宋" w:hAnsi="仿宋" w:eastAsia="仿宋"/>
          <w:b/>
          <w:sz w:val="28"/>
        </w:rPr>
        <w:t>项目名称：城隽雅苑项目线上推广服务项目</w:t>
      </w:r>
    </w:p>
    <w:p>
      <w:pPr>
        <w:pStyle w:val="5"/>
        <w:rPr>
          <w:rFonts w:ascii="仿宋" w:hAnsi="仿宋" w:eastAsia="仿宋"/>
        </w:rPr>
      </w:pPr>
    </w:p>
    <w:p>
      <w:pPr>
        <w:pStyle w:val="5"/>
        <w:spacing w:before="1"/>
        <w:rPr>
          <w:rFonts w:ascii="仿宋" w:hAnsi="仿宋" w:eastAsia="仿宋"/>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第一部分 合同协议书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甲方（广告主）：</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联系地址：</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乙方（发布方）：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联系地址：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依据《中华人民共和国民法典》、《中华人民共和国广告法》及有关法律、法规、规章的规定，甲、乙双方在平等、自愿、协商一致的基础上，签订本合同。</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投放执行清单（详见附件1）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合同价款及付款方式</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2.1本合同约定的含税广告产品投放执行清单见附件1。附件1中总费用包括但不限于广告发布费、人工费、税费、安装拆卸费、维护费、亮化费用等。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2.2本合同总价款限价人民币</w:t>
      </w:r>
      <w:r>
        <w:rPr>
          <w:rFonts w:ascii="仿宋" w:hAnsi="仿宋" w:eastAsia="仿宋"/>
          <w:color w:val="000000"/>
          <w:sz w:val="28"/>
          <w:szCs w:val="28"/>
        </w:rPr>
        <w:t xml:space="preserve">    </w:t>
      </w:r>
      <w:r>
        <w:rPr>
          <w:rFonts w:hint="eastAsia" w:ascii="仿宋" w:hAnsi="仿宋" w:eastAsia="仿宋"/>
          <w:color w:val="000000"/>
          <w:sz w:val="28"/>
          <w:szCs w:val="28"/>
        </w:rPr>
        <w:t xml:space="preserve"> 元。</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2.2付款方式：甲方应在投放执行清单（详见附件1）内容</w:t>
      </w:r>
      <w:r>
        <w:rPr>
          <w:rFonts w:hint="eastAsia" w:ascii="仿宋" w:hAnsi="仿宋" w:eastAsia="仿宋"/>
          <w:color w:val="000000"/>
          <w:sz w:val="28"/>
          <w:szCs w:val="28"/>
          <w:lang w:eastAsia="zh-Hans"/>
        </w:rPr>
        <w:t>全部</w:t>
      </w:r>
      <w:r>
        <w:rPr>
          <w:rFonts w:hint="eastAsia" w:ascii="仿宋" w:hAnsi="仿宋" w:eastAsia="仿宋"/>
          <w:color w:val="000000"/>
          <w:sz w:val="28"/>
          <w:szCs w:val="28"/>
        </w:rPr>
        <w:t>发布</w:t>
      </w:r>
      <w:r>
        <w:rPr>
          <w:rFonts w:hint="eastAsia" w:ascii="仿宋" w:hAnsi="仿宋" w:eastAsia="仿宋"/>
          <w:color w:val="000000"/>
          <w:sz w:val="28"/>
          <w:szCs w:val="28"/>
          <w:lang w:eastAsia="zh-Hans"/>
        </w:rPr>
        <w:t>并经甲方确认</w:t>
      </w:r>
      <w:r>
        <w:rPr>
          <w:rFonts w:hint="eastAsia" w:ascii="仿宋" w:hAnsi="仿宋" w:eastAsia="仿宋"/>
          <w:color w:val="000000"/>
          <w:sz w:val="28"/>
          <w:szCs w:val="28"/>
        </w:rPr>
        <w:t>后，</w:t>
      </w:r>
      <w:r>
        <w:rPr>
          <w:rFonts w:hint="eastAsia" w:ascii="仿宋" w:hAnsi="仿宋" w:eastAsia="仿宋"/>
          <w:color w:val="000000"/>
          <w:sz w:val="28"/>
          <w:szCs w:val="28"/>
          <w:lang w:eastAsia="zh-Hans"/>
        </w:rPr>
        <w:t>乙方向甲方开具等额增值税专用发票</w:t>
      </w:r>
      <w:r>
        <w:rPr>
          <w:rFonts w:hint="eastAsia" w:ascii="仿宋" w:hAnsi="仿宋" w:eastAsia="仿宋"/>
          <w:color w:val="000000"/>
          <w:sz w:val="28"/>
          <w:szCs w:val="28"/>
        </w:rPr>
        <w:t>10个工作日内，向乙方支付合同总费用的50%；甲方应在乙方提交广告发布结项文件</w:t>
      </w:r>
      <w:r>
        <w:rPr>
          <w:rFonts w:hint="eastAsia" w:ascii="仿宋" w:hAnsi="仿宋" w:eastAsia="仿宋"/>
          <w:color w:val="000000"/>
          <w:sz w:val="28"/>
          <w:szCs w:val="28"/>
          <w:lang w:eastAsia="zh-Hans"/>
        </w:rPr>
        <w:t>并经甲方确认</w:t>
      </w:r>
      <w:r>
        <w:rPr>
          <w:rFonts w:hint="eastAsia" w:ascii="仿宋" w:hAnsi="仿宋" w:eastAsia="仿宋"/>
          <w:color w:val="000000"/>
          <w:sz w:val="28"/>
          <w:szCs w:val="28"/>
        </w:rPr>
        <w:t>后，</w:t>
      </w:r>
      <w:r>
        <w:rPr>
          <w:rFonts w:hint="eastAsia" w:ascii="仿宋" w:hAnsi="仿宋" w:eastAsia="仿宋"/>
          <w:color w:val="000000"/>
          <w:sz w:val="28"/>
          <w:szCs w:val="28"/>
          <w:lang w:eastAsia="zh-Hans"/>
        </w:rPr>
        <w:t>乙方向甲方开具等额增值税专用发票</w:t>
      </w:r>
      <w:r>
        <w:rPr>
          <w:rFonts w:hint="eastAsia" w:ascii="仿宋" w:hAnsi="仿宋" w:eastAsia="仿宋"/>
          <w:color w:val="000000"/>
          <w:sz w:val="28"/>
          <w:szCs w:val="28"/>
        </w:rPr>
        <w:t>30个工作日内，向乙方支付合同总费用的50%（但支付总金额不得超过本合同总价款限价）。。</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 乙方收款账号名称如下，甲方向下述账户支付本合同价款，即视为甲方已履行相应的付款义务：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开户名：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开户账号：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开户银行：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应保证上述账户信息准确无误，如有任何变更的，应至少提前10个工作日以书面形式并保证有效通知到甲方；否则，因为账户信息有误、变更而未及时有效通知或由于乙方原因（包括但不限于账号被注销、被有权机关采取保全措施等）导致其无法收取款项的，由此造成的一切损失、风险及法律责任，均由乙方独自承担。乙方在此确认，甲方对乙方的付款均系基于乙方按约履行乙方在本协议项下的全部义务的前提下而支付，故若乙方有任何违约行为存在，甲方无须支付相应款项</w:t>
      </w:r>
      <w:r>
        <w:rPr>
          <w:rFonts w:ascii="仿宋" w:hAnsi="仿宋" w:eastAsia="仿宋"/>
          <w:color w:val="000000"/>
          <w:sz w:val="28"/>
          <w:szCs w:val="28"/>
        </w:rPr>
        <w:t>，</w:t>
      </w:r>
      <w:r>
        <w:rPr>
          <w:rFonts w:hint="eastAsia" w:ascii="仿宋" w:hAnsi="仿宋" w:eastAsia="仿宋"/>
          <w:color w:val="000000"/>
          <w:sz w:val="28"/>
          <w:szCs w:val="28"/>
          <w:lang w:eastAsia="zh-Hans"/>
        </w:rPr>
        <w:t>并有权要求乙方整改或单方解除合同</w:t>
      </w:r>
      <w:r>
        <w:rPr>
          <w:rFonts w:ascii="仿宋" w:hAnsi="仿宋" w:eastAsia="仿宋"/>
          <w:color w:val="000000"/>
          <w:sz w:val="28"/>
          <w:szCs w:val="28"/>
          <w:lang w:eastAsia="zh-Hans"/>
        </w:rPr>
        <w:t>，</w:t>
      </w:r>
      <w:r>
        <w:rPr>
          <w:rFonts w:hint="eastAsia" w:ascii="仿宋" w:hAnsi="仿宋" w:eastAsia="仿宋"/>
          <w:color w:val="000000"/>
          <w:sz w:val="28"/>
          <w:szCs w:val="28"/>
        </w:rPr>
        <w:t>甲方按前述约定未支付款项和单方解除合同的，无须承担任何责任。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2.4甲方的开票信息</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1）公司名称（一般纳税人）：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2）纳税人编码：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3）开户银行帐号：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4）开户银行名称：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5）地址：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6）电话：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2.5增值税专用发票的名称为: 策划服务费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其他约定</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文本和效力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4.1本合同一式贰份，甲方执壹份，乙方执壹份，具有同等效力。本合同包括第一部分合同协议书、第二部分通用合同条款以及附件，本合同自双方签署本合同协议书之日起生效。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4.2甲、乙双方在签署合同协议书前，已详细阅读并理解通用合同条款的约定及内容，同意签署合同协议书即视为接受通用合同条款约定的约束。合同协议书与通用合同条款不一致的，以合同协议书约定为准。</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（以下无《第一部分 合同协议书》之正文）</w:t>
      </w:r>
    </w:p>
    <w:p>
      <w:pPr>
        <w:spacing w:line="520" w:lineRule="exact"/>
        <w:rPr>
          <w:rFonts w:ascii="仿宋" w:hAnsi="仿宋" w:eastAsia="仿宋"/>
          <w:color w:val="000000"/>
          <w:sz w:val="28"/>
          <w:szCs w:val="28"/>
        </w:rPr>
      </w:pPr>
      <w:r>
        <w:rPr>
          <w:rFonts w:hint="eastAsia" w:ascii="仿宋" w:hAnsi="仿宋" w:eastAsia="仿宋"/>
          <w:color w:val="000000"/>
          <w:sz w:val="28"/>
          <w:szCs w:val="28"/>
        </w:rPr>
        <w:t>（本页为合同签署页，甲乙双方在此签署时，即视为双方均已充分知悉、理解和同意《第一部分 合同协议书》、《第二部分 通用合同条款》及附件之全部内容）</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甲方：                               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法定代表人：                </w:t>
      </w:r>
      <w:r>
        <w:rPr>
          <w:rFonts w:hint="eastAsia" w:ascii="仿宋" w:hAnsi="仿宋" w:eastAsia="仿宋"/>
          <w:color w:val="000000"/>
          <w:sz w:val="28"/>
          <w:szCs w:val="28"/>
        </w:rPr>
        <w:tab/>
      </w:r>
      <w:r>
        <w:rPr>
          <w:rFonts w:hint="eastAsia" w:ascii="仿宋" w:hAnsi="仿宋" w:eastAsia="仿宋"/>
          <w:color w:val="000000"/>
          <w:sz w:val="28"/>
          <w:szCs w:val="28"/>
        </w:rPr>
        <w:t xml:space="preserve">       法定代表人：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委托代理人：                         委托代理人：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签订日期:    年    月    日</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第二部分 通用合同条款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第一条 甲乙双方权利义务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  甲方享有以下权利并承担以下义务：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1.1.1甲方按照《广告法》的规定向乙方提供必要的文件并承诺其提供的文件真实、合法、有效，不违反法律规定、不损害社会公共利益、不侵犯他人的民事权利。</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1.1.2甲方应当在广告发布日的</w:t>
      </w:r>
      <w:r>
        <w:rPr>
          <w:rFonts w:ascii="仿宋" w:hAnsi="仿宋" w:eastAsia="仿宋"/>
          <w:color w:val="000000"/>
          <w:sz w:val="28"/>
          <w:szCs w:val="28"/>
        </w:rPr>
        <w:t>5</w:t>
      </w:r>
      <w:r>
        <w:rPr>
          <w:rFonts w:hint="eastAsia" w:ascii="仿宋" w:hAnsi="仿宋" w:eastAsia="仿宋"/>
          <w:color w:val="000000"/>
          <w:sz w:val="28"/>
          <w:szCs w:val="28"/>
        </w:rPr>
        <w:t>个工作日前，向乙方提供广告样稿和审批所需的真实性、合法性证明文件</w:t>
      </w:r>
      <w:bookmarkStart w:id="15" w:name="_Hlk105080562"/>
      <w:r>
        <w:rPr>
          <w:rFonts w:hint="eastAsia" w:ascii="仿宋" w:hAnsi="仿宋" w:eastAsia="仿宋"/>
          <w:color w:val="000000" w:themeColor="text1"/>
          <w:sz w:val="28"/>
          <w:szCs w:val="28"/>
          <w14:textFill>
            <w14:solidFill>
              <w14:schemeClr w14:val="tx1"/>
            </w14:solidFill>
          </w14:textFill>
        </w:rPr>
        <w:t>（有指定日期按甲方指定日期发布，没有指定的需要在投放计划对应时间3天内发布）</w:t>
      </w:r>
      <w:bookmarkEnd w:id="15"/>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1.1.3 甲方应按照合同约定的金额、时间、方式支付合同价款。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1.1.4甲方对广告发布内容有确认权及变更权，未经甲方确认，乙方不得擅自发布或变更发布内容。广告发布期内，如甲方需更换广告发布内容的，乙方应予以配合。</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  乙方享有以下权利并承担以下义务：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 乙方合法拥有本合同约定媒体的广告发布资格及权利，如因乙方原因导致广告发布遭受第三方索赔、干扰、行政处罚等责任，由乙方负责妥善解决并承担全部责任，承担甲方应诉等行为和承担其他不利义务而支付的一切费用，甲方因此而承担法律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1.2.2乙方应当依法向相关管理部门申请办理相关广告发布许可审批手续（如需）。</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1.2.3乙方应当按照本合同约定的时间及要求发布本合同约定广告。</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1.2.4乙方应当及时维护发布相关广告的相应设施，确保广告发布设施的正常使用和广告内容发布的正常效果。</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1.2.5乙方应甲方要求如实提供广告发布的数据资料。</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1.2.6在本合同履行完毕或合同解除时，乙方应当将广告材料或附加物料退还甲方，删除或销毁相关电子数据，且未经甲方事先书面同意不得将广告及/或相关素材提供给第三方。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1.2.7乙方应尽法定审查义务，对不符合法律、法规的广告内容和表现形式，乙方有义务提示甲方进行修改，并对审查结果承担法律责任甲方对内容和表现形式等的确认，不构成乙方对内容和表现形式等的承担责任的免除。因甲方提供虚假证明材料直接造成广告作品侵犯第三方合法权益的，甲方承担全部责任，但乙方明知或应知甲方提供虚假证明材料的除外。</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1.2.8 因乙方广告发布违反政府部门相关规定，受到政府部门相关处罚的，由乙方承担相应责任，由此造成甲方损失的，乙方应当予以赔偿。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1.2.9 乙方在履行本合同过程中形成的任何文案、图片、视频、音频等作品、资料或文件归甲方所有；如形成知识产权的，则归甲方所有。</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1.2.10除甲方所提供的文件外，乙方应当保证其为制作、发布广告成果所使用的一切素材无任何著作权、商标权、专利权或其他知识产权方面的权利限制或瑕疵，不会侵犯任何专利、商标、商号、版权、肖像权、技术秘密、商业秘密或其他任何权益。如为本合同目的所使用之任何资料涉及第三方之法律权利，乙方应事先取得该第三方的同意。若乙方违反上述承诺而导致甲方被第三方追究相应法律责任时，乙方应当负责妥善解决，承担甲方应诉等行为和承担其他不利义务而支付的一切费用，甲方因此而承担侵权赔偿等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发票条款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合同价款及合同项下各项应支付的费用，已包含乙方为履行此合同按照税收法律法规规定在中华人民共和国境内外所必须缴纳的一切直接或间接税费及规费，包括但不限于增值税、企业所得税、个人所得税、关税等税费。双方确认，合同履行期间，如遇国家税率调整，应根据增值税纳税义务发生时间确定应适用的税率，并相应调整含税价款。合同期内，由于乙方自身纳税人身份、纳税方式及国家税制改革原因带来税种及税率的变化，非经甲方书面同意，本合同不含增值税价不予调整。本合同计价结算的货币为人民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在甲方向乙方支付合同价款前，乙方必须向甲方提供由乙方按核定付款金额开具的、与合同内容一致并符合税务机关规定的合法、有效增值税专用发票，由于乙方提供的发票不规范、不合法引起税务问题（包括但不限于发票无法抵扣、被认定为虚开、甲方遭受税务机关调查等）的，乙方应向甲方承担赔偿责任，包括但不限于税款、附加费、滞纳金、罚款及相关损失；如给甲方造成严重损失的，致使合同无法继续履行的，甲方有权单方解除合同。乙方不能及时提供符合甲方要求的合法发票，甲方有权顺延付款直至乙方提供符合本合同约定的发票，且甲方无需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乙方应在发票记载的开具之日起15个工作日内（不得跨公历年）将发票送达甲方。若乙方开具的增值税发票信息不正确，应在接到甲方通知后的15日内重新开具正确的增值税发票并送达至甲方，乙方自行承担相关费用。甲方收到发票后，发票无论何种原因丢失，乙方应配合甲方按照国家法律、法规、规章、政策等规定重新取得甲方可用作原始会计凭证并受税务机关认可的合法合规的相关凭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本合同项下的罚款、违约金、赔偿均已包含增值税费及其附加，如为乙方收取，则乙方必须开具增值税发票，增值税发票类型要求同前述。乙方向甲方支付的罚款、违约赔偿款等并非原合同约定价款，因此合同总价款不变，乙方向甲方开具关于合同总价款的发票金额不受该等罚款违约赔偿安排的影响。</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违约责任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3.1  甲方未能按本合同的约定向乙方支付相关款项，如非为甲方原因，则甲方无需承担任何责任；如为甲方原因，甲方每迟延一天，则甲方应按照合同总价的万分之一的标准向乙方支付违约金；逾期超过30天且经过乙方合理催告后仍不支付的，乙方有权解除本合同。</w:t>
      </w:r>
    </w:p>
    <w:p>
      <w:pPr>
        <w:spacing w:line="520" w:lineRule="exact"/>
        <w:rPr>
          <w:rFonts w:ascii="仿宋" w:hAnsi="仿宋" w:eastAsia="仿宋"/>
          <w:color w:val="000000"/>
          <w:sz w:val="28"/>
          <w:szCs w:val="28"/>
        </w:rPr>
      </w:pPr>
      <w:r>
        <w:rPr>
          <w:rFonts w:hint="eastAsia" w:ascii="仿宋" w:hAnsi="仿宋" w:eastAsia="仿宋"/>
          <w:color w:val="000000"/>
          <w:sz w:val="28"/>
          <w:szCs w:val="28"/>
        </w:rPr>
        <w:t>3.2  因乙方原因造成广告无法按期发布的，乙方应承担违约责任，甲方有权选择以下任一方式处理：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（1）甲方有权单方解除本合同，终止本广告的发布，乙方应退还甲方已支付的费用；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（2）继续广告发布，但乙方每迟延一天，按照合同总价的千分之三的标准向甲方支付违约金；迟延超过10天的，甲方有权单方解除本合同，乙方除退还已收取费用外，还应向甲方支付相当于合同总价的 10 %作为违约金。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3.3  乙方未能根据甲方修复通知确定修复期限修复发生故障并影响广告发布效果的广告设施或画面内容的，每日应按照发生故障的广告数量乘以合同总价的千分之三的标准向甲方支付违约金，同时应当补足未能正常发布的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3.4  因乙方原因造成发布的广告不符合本合同约定或甲方要求的，包括但不限于广告规格、内容错误、印刷不清</w:t>
      </w:r>
      <w:r>
        <w:rPr>
          <w:rFonts w:hint="eastAsia" w:ascii="仿宋" w:hAnsi="仿宋" w:eastAsia="仿宋"/>
          <w:color w:val="000000" w:themeColor="text1"/>
          <w:sz w:val="28"/>
          <w:szCs w:val="28"/>
          <w14:textFill>
            <w14:solidFill>
              <w14:schemeClr w14:val="tx1"/>
            </w14:solidFill>
          </w14:textFill>
        </w:rPr>
        <w:t>、广告曝光量</w:t>
      </w:r>
      <w:r>
        <w:rPr>
          <w:rFonts w:hint="eastAsia" w:ascii="仿宋" w:hAnsi="仿宋" w:eastAsia="仿宋"/>
          <w:color w:val="000000"/>
          <w:sz w:val="28"/>
          <w:szCs w:val="28"/>
        </w:rPr>
        <w:t>不足等，甲方有权选择以下任一方式处理：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（1）乙方退还相应费用，并支付相当于合同总价的 10 %作为违约金；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（2）乙方于该事项发生或甲方知悉后的第二日按本合同要求免费重新发布广告一次，如本合同约定有广告发布期限的，则发布期限应作相应延长。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3.5  乙方未尽法定的广告审查义务导致发布的广告违法并造成甲方损失的，甲方有权向乙方追究相应赔偿责任，甲方对广告内容的审核或确认，不构成乙方对广告合法合规性承担责任的免除。</w:t>
      </w:r>
    </w:p>
    <w:p>
      <w:pPr>
        <w:spacing w:line="520" w:lineRule="exact"/>
        <w:rPr>
          <w:rFonts w:ascii="仿宋" w:hAnsi="仿宋" w:eastAsia="仿宋"/>
          <w:color w:val="000000"/>
          <w:sz w:val="28"/>
          <w:szCs w:val="28"/>
        </w:rPr>
      </w:pPr>
      <w:r>
        <w:rPr>
          <w:rFonts w:hint="eastAsia" w:ascii="仿宋" w:hAnsi="仿宋" w:eastAsia="仿宋"/>
          <w:color w:val="000000"/>
          <w:sz w:val="28"/>
          <w:szCs w:val="28"/>
        </w:rPr>
        <w:t>3.6  合同签订后，乙方未经甲方同意擅自解除本合同的，乙方除退还已收取费用外，还应当按照本合同总价的10%向甲方支付违约金；如违约金不足以弥补由此造成的甲方损失，乙方应当予以全部赔偿。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3.7  若乙方未履行合同其他义务，且在收到甲方要求纠正违约行为的通知后5日内仍未予纠正的，则甲方有权解除合同，并有权要求乙方退还已收取费用，并按合同总价的10%支付违约金。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因不可抗力或重大社会活动或事件等特殊原因致使广告无法按约定发布的，应由甲乙双方协商解决，必要时，应签订补充协议。</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乙方应当对在合同履行过程中通过甲方资料或其他途径知悉的甲方任何生产经营等有关事项保守秘密，非为本合同之目的，或甲方事先书面同意，乙方不得擅自将任何甲方资料、文件、信息等商业秘密公开、泄露、转让或披露给其他第三方，否则，乙方应向甲方支付违约金人民币【</w:t>
      </w:r>
      <w:r>
        <w:rPr>
          <w:rFonts w:hint="eastAsia"/>
        </w:rPr>
        <w:t>合同总金额的10%</w:t>
      </w:r>
      <w:r>
        <w:rPr>
          <w:rFonts w:hint="eastAsia" w:ascii="仿宋" w:hAnsi="仿宋" w:eastAsia="仿宋"/>
          <w:color w:val="000000"/>
          <w:sz w:val="28"/>
          <w:szCs w:val="28"/>
        </w:rPr>
        <w:t>】元；如违约金不足以弥补甲方遭受的损失的，乙方应予以继续赔偿。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未经甲方书面同意，乙方不得将其在本协议项下的权利和义务转让给任何第三方。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法律适用和争议解决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7.1 本合同的成立、有效性、解释、履行、签署、修订和终止以及争议的解决均应适用中华人民共和国法律。因本合同的效力、履行而产生的任何争议，甲、乙双方应友好协商解决，若协商解决不成，任何一方均可向甲方所在地人民法院提起诉讼。</w:t>
      </w:r>
    </w:p>
    <w:p>
      <w:pPr>
        <w:spacing w:line="520" w:lineRule="exact"/>
        <w:rPr>
          <w:rFonts w:ascii="仿宋" w:hAnsi="仿宋" w:eastAsia="仿宋"/>
          <w:color w:val="000000"/>
          <w:sz w:val="28"/>
          <w:szCs w:val="28"/>
        </w:rPr>
      </w:pPr>
      <w:r>
        <w:rPr>
          <w:rFonts w:hint="eastAsia" w:ascii="仿宋" w:hAnsi="仿宋" w:eastAsia="仿宋"/>
          <w:color w:val="000000"/>
          <w:sz w:val="28"/>
          <w:szCs w:val="28"/>
        </w:rPr>
        <w:t>7.2 在争议解决期间，除争议事项外，各方应在所有方面继续履行本协议。本条有关争议解决的条款应在本协议终止或期满后继续有效。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7.3 在争议解决期间，无论纠纷是否由于任一方的故意或过失造成，各方均应通过协商、调解、诉诸争议解决机构等理性方式来解决纠纷事项，不得采用通过任何致使或可能致使除本协议以外其他主体知悉的方式（包括但不限于通过公告栏、宣传栏、电视台、广播电台、报纸、杂志、门户网站、自媒体、微博、微信、微信公众号、QQ、抖音、快手、哔哩哔哩、小红书、知乎、论坛、贴吧等传统媒体及/或互联网媒介方式，以及张贴大字报、拉横幅、前往任一方经营场所闹事、实施任何影响或可能影响任一方名誉、商誉、品牌或正常生产经营秩序的行为）来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第八条  本合同附件构成本合同组成部分，与合同正文具有相同法律效力。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第九条  通知和送达</w:t>
      </w:r>
    </w:p>
    <w:p>
      <w:pPr>
        <w:spacing w:line="520" w:lineRule="exact"/>
        <w:rPr>
          <w:rFonts w:ascii="仿宋" w:hAnsi="仿宋" w:eastAsia="仿宋"/>
          <w:color w:val="000000"/>
          <w:sz w:val="28"/>
          <w:szCs w:val="28"/>
        </w:rPr>
      </w:pPr>
      <w:r>
        <w:rPr>
          <w:rFonts w:hint="eastAsia" w:ascii="仿宋" w:hAnsi="仿宋" w:eastAsia="仿宋"/>
          <w:color w:val="000000"/>
          <w:sz w:val="28"/>
          <w:szCs w:val="28"/>
        </w:rPr>
        <w:t>9.1 双方于本合同项下的通知、声明或其他意思表示应采用书面形式，并以专人递送、邮件快递形式送至合同起始部分载明的联系地址。 一方联系地址发生变化的，应至少在变化前5个工作日以书面形式通知其他方；未及时通知的，变动一方应对由此造成的不利后果和损失承担责任。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9.2 双方确认该等联系地址同样作为人民法院和/或仲裁机构的法律文书（含裁判文书）送达地址，且该约定为独立条款，不受本合同整体或其他条款的效力的影响。</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（以下无《第二部分 通用合同条款》正文）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附件1：投放执行清单</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（根据投标单位最终应标方案出具）</w:t>
      </w:r>
    </w:p>
    <w:tbl>
      <w:tblPr>
        <w:tblStyle w:val="11"/>
        <w:tblW w:w="5000" w:type="pct"/>
        <w:tblInd w:w="0" w:type="dxa"/>
        <w:tblLayout w:type="fixed"/>
        <w:tblCellMar>
          <w:top w:w="0" w:type="dxa"/>
          <w:left w:w="108" w:type="dxa"/>
          <w:bottom w:w="0" w:type="dxa"/>
          <w:right w:w="108" w:type="dxa"/>
        </w:tblCellMar>
      </w:tblPr>
      <w:tblGrid>
        <w:gridCol w:w="575"/>
        <w:gridCol w:w="1118"/>
        <w:gridCol w:w="943"/>
        <w:gridCol w:w="1546"/>
        <w:gridCol w:w="1098"/>
        <w:gridCol w:w="960"/>
        <w:gridCol w:w="1154"/>
        <w:gridCol w:w="1128"/>
      </w:tblGrid>
      <w:tr>
        <w:tblPrEx>
          <w:tblCellMar>
            <w:top w:w="0" w:type="dxa"/>
            <w:left w:w="108" w:type="dxa"/>
            <w:bottom w:w="0" w:type="dxa"/>
            <w:right w:w="108" w:type="dxa"/>
          </w:tblCellMar>
        </w:tblPrEx>
        <w:trPr>
          <w:trHeight w:val="22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城隽雅苑</w:t>
            </w:r>
            <w:r>
              <w:rPr>
                <w:rFonts w:hint="eastAsia" w:ascii="宋体" w:hAnsi="宋体" w:cs="宋体"/>
                <w:b/>
                <w:bCs/>
                <w:color w:val="000000"/>
                <w:kern w:val="0"/>
                <w:sz w:val="44"/>
                <w:szCs w:val="44"/>
                <w:lang w:bidi="ar"/>
              </w:rPr>
              <w:br w:type="textWrapping"/>
            </w:r>
            <w:r>
              <w:rPr>
                <w:rFonts w:hint="eastAsia" w:ascii="宋体" w:hAnsi="宋体" w:cs="宋体"/>
                <w:b/>
                <w:bCs/>
                <w:color w:val="000000"/>
                <w:kern w:val="0"/>
                <w:sz w:val="44"/>
                <w:szCs w:val="44"/>
                <w:lang w:bidi="ar"/>
              </w:rPr>
              <w:t>广告发布报价确认单</w:t>
            </w:r>
          </w:p>
        </w:tc>
      </w:tr>
      <w:tr>
        <w:tblPrEx>
          <w:tblCellMar>
            <w:top w:w="0" w:type="dxa"/>
            <w:left w:w="108" w:type="dxa"/>
            <w:bottom w:w="0" w:type="dxa"/>
            <w:right w:w="108" w:type="dxa"/>
          </w:tblCellMar>
        </w:tblPrEx>
        <w:trPr>
          <w:trHeight w:val="700" w:hRule="atLeast"/>
        </w:trPr>
        <w:tc>
          <w:tcPr>
            <w:tcW w:w="33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65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媒体类型</w:t>
            </w:r>
          </w:p>
        </w:tc>
        <w:tc>
          <w:tcPr>
            <w:tcW w:w="553"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媒体名称</w:t>
            </w:r>
          </w:p>
        </w:tc>
        <w:tc>
          <w:tcPr>
            <w:tcW w:w="90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合作内容</w:t>
            </w:r>
          </w:p>
        </w:tc>
        <w:tc>
          <w:tcPr>
            <w:tcW w:w="64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合作形式</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合作档期</w:t>
            </w:r>
          </w:p>
        </w:tc>
        <w:tc>
          <w:tcPr>
            <w:tcW w:w="67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不含税总价</w:t>
            </w:r>
          </w:p>
        </w:tc>
        <w:tc>
          <w:tcPr>
            <w:tcW w:w="659"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含税总价</w:t>
            </w:r>
          </w:p>
        </w:tc>
      </w:tr>
      <w:tr>
        <w:tblPrEx>
          <w:tblCellMar>
            <w:top w:w="0" w:type="dxa"/>
            <w:left w:w="108" w:type="dxa"/>
            <w:bottom w:w="0" w:type="dxa"/>
            <w:right w:w="108" w:type="dxa"/>
          </w:tblCellMar>
        </w:tblPrEx>
        <w:trPr>
          <w:trHeight w:val="7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房天下</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APP首页/黄金搜索</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信息流广告</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10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百度</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百度搜索拦截（移动端+PC端）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百度APP信息流（移动端）</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信息流广告</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1个月</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76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网易房产</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网易CPM精准投放</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信息流广告</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1个月</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76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粉丝节</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线下展摆活动</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6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朋友圈广告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腾讯广告</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微信朋友圈广告</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100万曝光</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7天</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9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费用合计（含税）： 元</w:t>
            </w:r>
          </w:p>
        </w:tc>
      </w:tr>
    </w:tbl>
    <w:p>
      <w:pPr>
        <w:widowControl/>
        <w:jc w:val="left"/>
        <w:rPr>
          <w:rFonts w:ascii="仿宋_GB2312" w:eastAsia="仿宋_GB2312"/>
          <w:b/>
          <w:sz w:val="28"/>
          <w:szCs w:val="28"/>
        </w:rPr>
      </w:pPr>
    </w:p>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附件2：廉政责任书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甲方：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甲乙双方的责任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(一)应严格遵守国家有关法律、法规，相关政策，以及廉政建设的各项规定。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(二)严格执行合同文件，自觉按合同办事。</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甲方的领导和工作人员，在合作的事前、事中、事后应遵守以下规定：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(二)不准在乙方和相关单位报销任何应由甲方或个人支付的费用。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(三)不准要求、暗示和接受乙方和相关单位为个人装修住房、婚丧嫁娶、配偶子女的工作安排以及出国(境)旅游等提供方便。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应与甲方和相关单位保持正常的业务交往，按照有关法律法规和程序开展业务工作，认真履行相关职责，并遵守以下规定：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(一)不准以任何理由向甲方、相关单位及其工作人索要、接受或赠送礼金、有价证券、贵重物品和回扣、好处费、感谢费等。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(四)不准以任何理由为甲方、相关单位或个人组织有可能影响公正执行公务的宴请、健身、娱乐等活动。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第四条 违约责任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本责任书作为合作合同的附件，与其具有同等法律效力。经双方签署后立即生效。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本责任书的有效期为双方签署之日起至双方履行完毕合同的所有权利义务止。</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本协议一式四份，甲方执二份，乙方执二份。</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（以下无《廉政责任书》之正文）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甲方单位：(盖章)                 乙方单位：(盖章)</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地址：                           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年  月  日                       年  月  日</w:t>
      </w:r>
    </w:p>
    <w:p>
      <w:pPr>
        <w:pStyle w:val="3"/>
        <w:spacing w:line="240" w:lineRule="auto"/>
        <w:rPr>
          <w:rFonts w:ascii="仿宋_GB2312" w:eastAsia="仿宋_GB2312"/>
          <w:sz w:val="28"/>
          <w:szCs w:val="28"/>
        </w:rPr>
      </w:pP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
      <w:pPr>
        <w:pStyle w:val="3"/>
        <w:spacing w:line="240" w:lineRule="auto"/>
        <w:jc w:val="center"/>
      </w:pPr>
      <w:r>
        <w:rPr>
          <w:rFonts w:hint="eastAsia" w:ascii="仿宋_GB2312" w:hAnsi="宋体" w:eastAsia="仿宋_GB2312" w:cs="宋体"/>
        </w:rPr>
        <w:t>五、竞投文件格式（竞投人提交）</w:t>
      </w:r>
    </w:p>
    <w:p>
      <w:pPr>
        <w:rPr>
          <w:rFonts w:ascii="仿宋_GB2312" w:eastAsia="仿宋_GB2312"/>
          <w:sz w:val="24"/>
        </w:rPr>
      </w:pPr>
      <w:r>
        <w:rPr>
          <w:rFonts w:hint="eastAsia" w:ascii="仿宋_GB2312" w:eastAsia="仿宋_GB2312"/>
          <w:sz w:val="24"/>
        </w:rPr>
        <w:t xml:space="preserve">附件1：竞投文件封面  </w:t>
      </w:r>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城隽雅苑北区项目线上媒体推广服务项目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竞投日期：2023年  月  日</w:t>
      </w:r>
    </w:p>
    <w:p>
      <w:pPr>
        <w:pStyle w:val="3"/>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3"/>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3"/>
        <w:rPr>
          <w:rFonts w:ascii="仿宋_GB2312" w:hAnsi="宋体" w:eastAsia="仿宋_GB2312"/>
          <w:b w:val="0"/>
          <w:sz w:val="21"/>
          <w:szCs w:val="21"/>
        </w:rPr>
      </w:pPr>
    </w:p>
    <w:p>
      <w:pPr>
        <w:rPr>
          <w:rFonts w:ascii="仿宋_GB2312" w:hAnsi="宋体" w:eastAsia="仿宋_GB2312"/>
          <w:b/>
          <w:szCs w:val="21"/>
        </w:rPr>
      </w:pPr>
    </w:p>
    <w:p>
      <w:pPr>
        <w:keepNext/>
        <w:keepLines/>
        <w:spacing w:before="260" w:after="20" w:line="400" w:lineRule="exact"/>
        <w:outlineLvl w:val="1"/>
        <w:rPr>
          <w:rFonts w:ascii="仿宋_GB2312" w:hAnsi="Arial" w:eastAsia="仿宋_GB2312"/>
          <w:b/>
          <w:bCs/>
          <w:sz w:val="28"/>
          <w:szCs w:val="28"/>
        </w:rPr>
      </w:pPr>
      <w:bookmarkStart w:id="16" w:name="_Toc334797769"/>
      <w:r>
        <w:rPr>
          <w:rFonts w:hint="eastAsia" w:ascii="仿宋_GB2312" w:hAnsi="Arial" w:eastAsia="仿宋_GB2312"/>
          <w:bCs/>
          <w:sz w:val="24"/>
        </w:rPr>
        <w:t>附件3</w:t>
      </w:r>
    </w:p>
    <w:bookmarkEnd w:id="16"/>
    <w:p>
      <w:pPr>
        <w:keepNext/>
        <w:keepLines/>
        <w:spacing w:before="260" w:after="260" w:line="400" w:lineRule="exact"/>
        <w:jc w:val="center"/>
        <w:outlineLvl w:val="1"/>
        <w:rPr>
          <w:rFonts w:ascii="仿宋_GB2312" w:hAnsi="宋体" w:eastAsia="仿宋_GB2312" w:cs="宋体"/>
          <w:sz w:val="32"/>
          <w:szCs w:val="32"/>
        </w:rPr>
      </w:pPr>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rPr>
        <w:t>广州市城壹房地产顾问有限公司</w:t>
      </w:r>
      <w:r>
        <w:rPr>
          <w:rFonts w:hint="eastAsia" w:ascii="仿宋_GB2312" w:hAnsi="宋体" w:eastAsia="仿宋_GB2312"/>
          <w:szCs w:val="21"/>
        </w:rPr>
        <w:tab/>
      </w:r>
    </w:p>
    <w:p>
      <w:pPr>
        <w:spacing w:line="400" w:lineRule="exact"/>
        <w:rPr>
          <w:rFonts w:ascii="仿宋_GB2312" w:hAnsi="宋体" w:eastAsia="仿宋_GB2312"/>
          <w:szCs w:val="21"/>
        </w:rPr>
      </w:pPr>
    </w:p>
    <w:p>
      <w:pPr>
        <w:spacing w:line="400" w:lineRule="exact"/>
        <w:rPr>
          <w:rFonts w:ascii="仿宋_GB2312" w:hAnsi="宋体" w:eastAsia="仿宋_GB2312"/>
          <w:sz w:val="24"/>
        </w:rPr>
      </w:pPr>
      <w:r>
        <w:rPr>
          <w:rFonts w:hint="eastAsia" w:ascii="仿宋_GB2312" w:hAnsi="宋体" w:eastAsia="仿宋_GB2312"/>
          <w:sz w:val="24"/>
        </w:rPr>
        <w:t>本授权证明：</w:t>
      </w:r>
      <w:r>
        <w:rPr>
          <w:rFonts w:hint="eastAsia" w:ascii="仿宋_GB2312" w:hAnsi="宋体" w:eastAsia="仿宋_GB2312"/>
          <w:i/>
          <w:sz w:val="24"/>
          <w:u w:val="single"/>
        </w:rPr>
        <w:t xml:space="preserve">                </w:t>
      </w:r>
      <w:r>
        <w:rPr>
          <w:rFonts w:hint="eastAsia" w:ascii="仿宋_GB2312" w:hAnsi="宋体" w:eastAsia="仿宋_GB2312"/>
          <w:sz w:val="24"/>
        </w:rPr>
        <w:t>是注册于</w:t>
      </w:r>
      <w:r>
        <w:rPr>
          <w:rFonts w:hint="eastAsia" w:ascii="仿宋_GB2312" w:hAnsi="宋体" w:eastAsia="仿宋_GB2312"/>
          <w:i/>
          <w:sz w:val="24"/>
          <w:u w:val="single"/>
        </w:rPr>
        <w:t xml:space="preserve">                         </w:t>
      </w:r>
      <w:r>
        <w:rPr>
          <w:rFonts w:hint="eastAsia" w:ascii="仿宋_GB2312" w:hAnsi="宋体" w:eastAsia="仿宋_GB2312"/>
          <w:sz w:val="24"/>
        </w:rPr>
        <w:t>的</w:t>
      </w:r>
      <w:r>
        <w:rPr>
          <w:rFonts w:hint="eastAsia" w:ascii="仿宋_GB2312" w:hAnsi="宋体" w:eastAsia="仿宋_GB2312"/>
          <w:i/>
          <w:sz w:val="24"/>
          <w:u w:val="single"/>
        </w:rPr>
        <w:t xml:space="preserve">                                </w:t>
      </w:r>
      <w:r>
        <w:rPr>
          <w:rFonts w:hint="eastAsia" w:ascii="仿宋_GB2312" w:hAnsi="宋体" w:eastAsia="仿宋_GB2312"/>
          <w:sz w:val="24"/>
        </w:rPr>
        <w:t>法定代表人，现任</w:t>
      </w:r>
      <w:r>
        <w:rPr>
          <w:rFonts w:hint="eastAsia" w:ascii="仿宋_GB2312" w:hAnsi="宋体" w:eastAsia="仿宋_GB2312"/>
          <w:i/>
          <w:sz w:val="24"/>
          <w:u w:val="single"/>
        </w:rPr>
        <w:t xml:space="preserve">         </w:t>
      </w:r>
      <w:r>
        <w:rPr>
          <w:rFonts w:hint="eastAsia" w:ascii="仿宋_GB2312" w:hAnsi="宋体" w:eastAsia="仿宋_GB2312"/>
          <w:sz w:val="24"/>
        </w:rPr>
        <w:t>。在此授权</w:t>
      </w:r>
      <w:r>
        <w:rPr>
          <w:rFonts w:hint="eastAsia" w:ascii="仿宋_GB2312" w:hAnsi="宋体" w:eastAsia="仿宋_GB2312"/>
          <w:i/>
          <w:sz w:val="24"/>
          <w:u w:val="single"/>
        </w:rPr>
        <w:t xml:space="preserve">                 </w:t>
      </w:r>
      <w:r>
        <w:rPr>
          <w:rFonts w:hint="eastAsia" w:ascii="仿宋_GB2312" w:hAnsi="宋体" w:eastAsia="仿宋_GB2312"/>
          <w:sz w:val="24"/>
        </w:rPr>
        <w:t>作为我公司的全权代理人，在</w:t>
      </w:r>
      <w:r>
        <w:rPr>
          <w:rFonts w:hint="eastAsia" w:ascii="仿宋_GB2312" w:hAnsi="宋体" w:eastAsia="仿宋_GB2312"/>
          <w:sz w:val="24"/>
          <w:u w:val="single"/>
        </w:rPr>
        <w:t xml:space="preserve">         </w:t>
      </w:r>
      <w:r>
        <w:rPr>
          <w:rFonts w:hint="eastAsia" w:ascii="仿宋_GB2312" w:hAnsi="宋体" w:eastAsia="仿宋_GB2312"/>
          <w:sz w:val="24"/>
        </w:rPr>
        <w:t>的竞投及其合同执行过程中，以我公司的名义处理一切与之有关的事务。</w:t>
      </w:r>
    </w:p>
    <w:p>
      <w:pPr>
        <w:spacing w:line="400" w:lineRule="exact"/>
        <w:rPr>
          <w:rFonts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日起签字生效，特此声明。</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 xml:space="preserve">竞投人全称（公章）：                   </w:t>
      </w:r>
    </w:p>
    <w:p>
      <w:pPr>
        <w:spacing w:line="400" w:lineRule="exact"/>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b/>
          <w:bCs/>
          <w:sz w:val="24"/>
        </w:rPr>
        <w:t>签字</w:t>
      </w:r>
      <w:r>
        <w:rPr>
          <w:rFonts w:hint="eastAsia" w:ascii="仿宋_GB2312" w:hAnsi="宋体" w:eastAsia="仿宋_GB2312"/>
          <w:sz w:val="24"/>
        </w:rPr>
        <w:t xml:space="preserve">）：        </w:t>
      </w:r>
    </w:p>
    <w:p>
      <w:pPr>
        <w:spacing w:line="400" w:lineRule="exact"/>
        <w:rPr>
          <w:rFonts w:ascii="仿宋_GB2312" w:hAnsi="宋体" w:eastAsia="仿宋_GB2312"/>
          <w:sz w:val="24"/>
        </w:rPr>
      </w:pPr>
      <w:r>
        <w:rPr>
          <w:rFonts w:hint="eastAsia" w:ascii="仿宋_GB2312" w:hAnsi="宋体" w:eastAsia="仿宋_GB2312"/>
          <w:sz w:val="24"/>
        </w:rPr>
        <w:t>被授权人(竞投人授权代表)（</w:t>
      </w:r>
      <w:r>
        <w:rPr>
          <w:rFonts w:hint="eastAsia" w:ascii="仿宋_GB2312" w:hAnsi="宋体" w:eastAsia="仿宋_GB2312"/>
          <w:b/>
          <w:bCs/>
          <w:sz w:val="24"/>
        </w:rPr>
        <w:t>签字</w:t>
      </w:r>
      <w:r>
        <w:rPr>
          <w:rFonts w:hint="eastAsia" w:ascii="仿宋_GB2312" w:hAnsi="宋体" w:eastAsia="仿宋_GB2312"/>
          <w:sz w:val="24"/>
        </w:rPr>
        <w:t>）：</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400" w:lineRule="exact"/>
              <w:jc w:val="center"/>
              <w:rPr>
                <w:rFonts w:ascii="仿宋_GB2312" w:hAnsi="宋体" w:eastAsia="仿宋_GB2312"/>
                <w:b/>
                <w:szCs w:val="21"/>
              </w:rPr>
            </w:pPr>
            <w:r>
              <w:rPr>
                <w:rFonts w:hint="eastAsia" w:ascii="仿宋_GB2312" w:hAnsi="宋体" w:eastAsia="仿宋_GB2312"/>
                <w:b/>
                <w:szCs w:val="21"/>
              </w:rPr>
              <w:t>居民身份证复印件（盖章）</w:t>
            </w:r>
          </w:p>
          <w:p>
            <w:pPr>
              <w:spacing w:line="400" w:lineRule="exact"/>
              <w:jc w:val="center"/>
              <w:rPr>
                <w:rFonts w:ascii="仿宋_GB2312" w:hAnsi="宋体" w:eastAsia="仿宋_GB2312"/>
                <w:szCs w:val="21"/>
              </w:rPr>
            </w:pPr>
            <w:r>
              <w:rPr>
                <w:rFonts w:hint="eastAsia" w:ascii="仿宋_GB2312" w:hAnsi="宋体" w:eastAsia="仿宋_GB2312"/>
                <w:b/>
                <w:szCs w:val="21"/>
              </w:rPr>
              <w:t>粘贴处</w:t>
            </w:r>
          </w:p>
        </w:tc>
      </w:tr>
    </w:tbl>
    <w:p>
      <w:pPr>
        <w:keepNext/>
        <w:keepLines/>
        <w:spacing w:before="260" w:after="260" w:line="400" w:lineRule="exact"/>
        <w:outlineLvl w:val="1"/>
        <w:rPr>
          <w:rFonts w:ascii="仿宋_GB2312" w:hAnsi="Arial" w:eastAsia="仿宋_GB2312"/>
          <w:b/>
          <w:bCs/>
          <w:szCs w:val="21"/>
        </w:rPr>
      </w:pPr>
      <w:r>
        <w:rPr>
          <w:rFonts w:hint="eastAsia" w:ascii="仿宋_GB2312" w:hAnsi="Arial" w:eastAsia="仿宋_GB2312"/>
          <w:bCs/>
          <w:sz w:val="24"/>
        </w:rPr>
        <w:t>附件4</w:t>
      </w:r>
      <w:r>
        <w:rPr>
          <w:rFonts w:ascii="仿宋_GB2312" w:hAnsi="Arial" w:eastAsia="仿宋_GB2312"/>
          <w:b/>
          <w:bCs/>
          <w:szCs w:val="21"/>
        </w:rPr>
        <w:t xml:space="preserve"> </w:t>
      </w:r>
    </w:p>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11"/>
        <w:tblW w:w="0" w:type="auto"/>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序号</w:t>
            </w:r>
          </w:p>
        </w:tc>
        <w:tc>
          <w:tcPr>
            <w:tcW w:w="3911" w:type="dxa"/>
            <w:vAlign w:val="center"/>
          </w:tcPr>
          <w:p>
            <w:pPr>
              <w:jc w:val="center"/>
              <w:rPr>
                <w:rFonts w:ascii="Calibri" w:hAnsi="Calibri"/>
              </w:rPr>
            </w:pPr>
            <w:r>
              <w:rPr>
                <w:rFonts w:hint="eastAsia" w:ascii="Calibri" w:hAnsi="Calibri"/>
              </w:rPr>
              <w:t>报价内容</w:t>
            </w:r>
          </w:p>
        </w:tc>
        <w:tc>
          <w:tcPr>
            <w:tcW w:w="2365" w:type="dxa"/>
            <w:vAlign w:val="center"/>
          </w:tcPr>
          <w:p>
            <w:pPr>
              <w:jc w:val="center"/>
              <w:rPr>
                <w:rFonts w:ascii="Calibri" w:hAnsi="Calibri"/>
              </w:rPr>
            </w:pPr>
            <w:r>
              <w:rPr>
                <w:rFonts w:hint="eastAsia" w:ascii="Calibri" w:hAnsi="Calibri"/>
              </w:rPr>
              <w:t>报价金额</w:t>
            </w:r>
          </w:p>
        </w:tc>
        <w:tc>
          <w:tcPr>
            <w:tcW w:w="2365" w:type="dxa"/>
            <w:vAlign w:val="center"/>
          </w:tcPr>
          <w:p>
            <w:pPr>
              <w:jc w:val="center"/>
              <w:rPr>
                <w:rFonts w:ascii="Calibri" w:hAnsi="Calibri"/>
              </w:rPr>
            </w:pPr>
            <w:r>
              <w:rPr>
                <w:rFonts w:hint="eastAsia" w:ascii="Calibri" w:hAnsi="Calibr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1</w:t>
            </w:r>
          </w:p>
        </w:tc>
        <w:tc>
          <w:tcPr>
            <w:tcW w:w="3911" w:type="dxa"/>
            <w:vAlign w:val="center"/>
          </w:tcPr>
          <w:p>
            <w:pPr>
              <w:rPr>
                <w:rFonts w:ascii="Calibri" w:hAnsi="Calibri"/>
              </w:rPr>
            </w:pPr>
            <w:r>
              <w:rPr>
                <w:rFonts w:hint="eastAsia" w:ascii="Calibri" w:hAnsi="Calibri"/>
              </w:rPr>
              <w:t>竞投总报价（含税）</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2</w:t>
            </w:r>
          </w:p>
        </w:tc>
        <w:tc>
          <w:tcPr>
            <w:tcW w:w="3911" w:type="dxa"/>
            <w:vAlign w:val="center"/>
          </w:tcPr>
          <w:p>
            <w:pPr>
              <w:rPr>
                <w:rFonts w:ascii="Calibri" w:hAnsi="Calibri"/>
              </w:rPr>
            </w:pPr>
            <w:r>
              <w:rPr>
                <w:rFonts w:hint="eastAsia" w:ascii="Calibri" w:hAnsi="Calibri"/>
              </w:rPr>
              <w:t>不含税报价</w:t>
            </w:r>
          </w:p>
        </w:tc>
        <w:tc>
          <w:tcPr>
            <w:tcW w:w="2365" w:type="dxa"/>
            <w:vAlign w:val="center"/>
          </w:tcPr>
          <w:p>
            <w:pPr>
              <w:rPr>
                <w:rFonts w:ascii="Calibri" w:hAnsi="Calibri"/>
              </w:rPr>
            </w:pPr>
          </w:p>
        </w:tc>
        <w:tc>
          <w:tcPr>
            <w:tcW w:w="2365" w:type="dxa"/>
            <w:vAlign w:val="center"/>
          </w:tcPr>
          <w:p>
            <w:pPr>
              <w:rPr>
                <w:rFonts w:ascii="Calibri" w:hAnsi="Calibri"/>
              </w:rPr>
            </w:pPr>
            <w:r>
              <w:rPr>
                <w:rFonts w:hint="eastAsia" w:ascii="Calibri" w:hAnsi="Calibri"/>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3</w:t>
            </w:r>
          </w:p>
        </w:tc>
        <w:tc>
          <w:tcPr>
            <w:tcW w:w="3911" w:type="dxa"/>
            <w:vAlign w:val="center"/>
          </w:tcPr>
          <w:p>
            <w:pPr>
              <w:rPr>
                <w:rFonts w:ascii="Calibri" w:hAnsi="Calibri"/>
              </w:rPr>
            </w:pPr>
            <w:r>
              <w:rPr>
                <w:rFonts w:hint="eastAsia" w:ascii="Calibri" w:hAnsi="Calibri"/>
              </w:rPr>
              <w:t>增值税费</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4</w:t>
            </w:r>
          </w:p>
        </w:tc>
        <w:tc>
          <w:tcPr>
            <w:tcW w:w="3911" w:type="dxa"/>
            <w:vAlign w:val="center"/>
          </w:tcPr>
          <w:p>
            <w:pPr>
              <w:rPr>
                <w:rFonts w:ascii="Calibri" w:hAnsi="Calibri"/>
              </w:rPr>
            </w:pPr>
            <w:r>
              <w:rPr>
                <w:rFonts w:hint="eastAsia" w:ascii="Calibri" w:hAnsi="Calibri"/>
              </w:rPr>
              <w:t>增值税专用发票税率（6%）</w:t>
            </w:r>
          </w:p>
        </w:tc>
        <w:tc>
          <w:tcPr>
            <w:tcW w:w="2365" w:type="dxa"/>
            <w:vAlign w:val="center"/>
          </w:tcPr>
          <w:p>
            <w:pPr>
              <w:rPr>
                <w:rFonts w:ascii="Calibri" w:hAnsi="Calibri"/>
              </w:rPr>
            </w:pPr>
          </w:p>
        </w:tc>
        <w:tc>
          <w:tcPr>
            <w:tcW w:w="2365" w:type="dxa"/>
            <w:vAlign w:val="center"/>
          </w:tcPr>
          <w:p>
            <w:pPr>
              <w:rPr>
                <w:rFonts w:ascii="Calibri" w:hAnsi="Calibri"/>
              </w:rPr>
            </w:pPr>
          </w:p>
        </w:tc>
      </w:tr>
    </w:tbl>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0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00" w:lineRule="exact"/>
        <w:rPr>
          <w:rFonts w:ascii="仿宋_GB2312" w:hAnsi="宋体" w:eastAsia="仿宋_GB2312"/>
          <w:bCs/>
          <w:szCs w:val="21"/>
        </w:rPr>
      </w:pPr>
      <w:r>
        <w:rPr>
          <w:rFonts w:hint="eastAsia" w:ascii="仿宋_GB2312" w:hAnsi="宋体" w:eastAsia="仿宋_GB2312"/>
          <w:bCs/>
          <w:szCs w:val="21"/>
        </w:rPr>
        <w:t>日    期：         年      月     日</w:t>
      </w:r>
    </w:p>
    <w:p>
      <w:pPr>
        <w:spacing w:line="400" w:lineRule="exact"/>
        <w:rPr>
          <w:rFonts w:ascii="Calibri" w:hAnsi="Calibri"/>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pStyle w:val="3"/>
        <w:rPr>
          <w:rFonts w:ascii="仿宋_GB2312" w:eastAsia="仿宋_GB2312"/>
          <w:sz w:val="21"/>
          <w:szCs w:val="21"/>
        </w:rPr>
      </w:pPr>
      <w:r>
        <w:rPr>
          <w:rFonts w:hint="eastAsia" w:ascii="仿宋_GB2312" w:eastAsia="仿宋_GB2312"/>
          <w:b w:val="0"/>
          <w:sz w:val="24"/>
          <w:szCs w:val="24"/>
        </w:rPr>
        <w:t>附件5</w:t>
      </w:r>
    </w:p>
    <w:p>
      <w:pPr>
        <w:keepNext/>
        <w:keepLines/>
        <w:spacing w:before="260" w:after="260" w:line="400" w:lineRule="exact"/>
        <w:jc w:val="center"/>
        <w:outlineLvl w:val="1"/>
        <w:rPr>
          <w:rFonts w:ascii="仿宋_GB2312" w:hAnsi="Arial" w:eastAsia="仿宋_GB2312"/>
          <w:b/>
          <w:bCs/>
          <w:sz w:val="32"/>
          <w:szCs w:val="32"/>
        </w:rPr>
      </w:pPr>
      <w:r>
        <w:rPr>
          <w:rFonts w:hint="eastAsia" w:ascii="仿宋_GB2312" w:hAnsi="宋体" w:eastAsia="仿宋_GB2312" w:cs="宋体"/>
          <w:b/>
          <w:bCs/>
          <w:sz w:val="32"/>
          <w:szCs w:val="32"/>
        </w:rPr>
        <w:t>竞投报价执行清单</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城隽雅苑北区项目线上媒体推广服务</w:t>
      </w:r>
      <w:r>
        <w:rPr>
          <w:rFonts w:hint="eastAsia" w:ascii="仿宋_GB2312" w:hAnsi="宋体" w:eastAsia="仿宋_GB2312" w:cs="Tahoma"/>
          <w:kern w:val="28"/>
          <w:szCs w:val="21"/>
        </w:rPr>
        <w:t>项目</w:t>
      </w:r>
    </w:p>
    <w:tbl>
      <w:tblPr>
        <w:tblStyle w:val="11"/>
        <w:tblW w:w="6054" w:type="pct"/>
        <w:tblInd w:w="-891" w:type="dxa"/>
        <w:tblLayout w:type="fixed"/>
        <w:tblCellMar>
          <w:top w:w="0" w:type="dxa"/>
          <w:left w:w="108" w:type="dxa"/>
          <w:bottom w:w="0" w:type="dxa"/>
          <w:right w:w="108" w:type="dxa"/>
        </w:tblCellMar>
      </w:tblPr>
      <w:tblGrid>
        <w:gridCol w:w="869"/>
        <w:gridCol w:w="943"/>
        <w:gridCol w:w="943"/>
        <w:gridCol w:w="1199"/>
        <w:gridCol w:w="3613"/>
        <w:gridCol w:w="883"/>
        <w:gridCol w:w="801"/>
        <w:gridCol w:w="1067"/>
      </w:tblGrid>
      <w:tr>
        <w:tblPrEx>
          <w:tblCellMar>
            <w:top w:w="0" w:type="dxa"/>
            <w:left w:w="108" w:type="dxa"/>
            <w:bottom w:w="0" w:type="dxa"/>
            <w:right w:w="108" w:type="dxa"/>
          </w:tblCellMar>
        </w:tblPrEx>
        <w:trPr>
          <w:trHeight w:val="6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城隽雅苑</w:t>
            </w:r>
            <w:r>
              <w:rPr>
                <w:rFonts w:hint="eastAsia" w:ascii="宋体" w:hAnsi="宋体" w:cs="宋体"/>
                <w:b/>
                <w:bCs/>
                <w:color w:val="000000"/>
                <w:kern w:val="0"/>
                <w:sz w:val="44"/>
                <w:szCs w:val="44"/>
                <w:lang w:bidi="ar"/>
              </w:rPr>
              <w:br w:type="textWrapping"/>
            </w:r>
            <w:r>
              <w:rPr>
                <w:rFonts w:hint="eastAsia" w:ascii="宋体" w:hAnsi="宋体" w:cs="宋体"/>
                <w:b/>
                <w:bCs/>
                <w:color w:val="000000"/>
                <w:kern w:val="0"/>
                <w:sz w:val="44"/>
                <w:szCs w:val="44"/>
                <w:lang w:bidi="ar"/>
              </w:rPr>
              <w:t>广告发布报价确认单</w:t>
            </w:r>
          </w:p>
        </w:tc>
      </w:tr>
      <w:tr>
        <w:tblPrEx>
          <w:tblCellMar>
            <w:top w:w="0" w:type="dxa"/>
            <w:left w:w="108" w:type="dxa"/>
            <w:bottom w:w="0" w:type="dxa"/>
            <w:right w:w="108" w:type="dxa"/>
          </w:tblCellMar>
        </w:tblPrEx>
        <w:trPr>
          <w:trHeight w:val="700" w:hRule="atLeast"/>
        </w:trPr>
        <w:tc>
          <w:tcPr>
            <w:tcW w:w="42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45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媒体类型</w:t>
            </w:r>
          </w:p>
        </w:tc>
        <w:tc>
          <w:tcPr>
            <w:tcW w:w="45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媒体名称</w:t>
            </w:r>
          </w:p>
        </w:tc>
        <w:tc>
          <w:tcPr>
            <w:tcW w:w="5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合作内容</w:t>
            </w:r>
          </w:p>
        </w:tc>
        <w:tc>
          <w:tcPr>
            <w:tcW w:w="175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合作形式</w:t>
            </w:r>
          </w:p>
        </w:tc>
        <w:tc>
          <w:tcPr>
            <w:tcW w:w="428"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合作档期</w:t>
            </w:r>
          </w:p>
        </w:tc>
        <w:tc>
          <w:tcPr>
            <w:tcW w:w="38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不含税总价（元）</w:t>
            </w:r>
          </w:p>
        </w:tc>
        <w:tc>
          <w:tcPr>
            <w:tcW w:w="51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含税总价（元）</w:t>
            </w:r>
          </w:p>
        </w:tc>
      </w:tr>
      <w:tr>
        <w:tblPrEx>
          <w:tblCellMar>
            <w:top w:w="0" w:type="dxa"/>
            <w:left w:w="108" w:type="dxa"/>
            <w:bottom w:w="0" w:type="dxa"/>
            <w:right w:w="108" w:type="dxa"/>
          </w:tblCellMar>
        </w:tblPrEx>
        <w:trPr>
          <w:trHeight w:val="188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网媒</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房天下</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APP首页/黄金搜索</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信息流广告（APP首页黄金搜索3天、APP首页信息流横幅2天、APP直播列表页横幅2天、WAP新房列表页置顶推荐7天、PC新房首页快搜文字链7天、PC看房团首页全景视窗7天、APP首页楼盘展示15天、APP新房列表页楼盘展示15天、3端项目详情页置业顾问展示位15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赠送：视频拍摄/样板间VR全景看房/内容资源整合新闻/开通项目详情页/400精准导客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1个月</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194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2</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百度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百度搜索拦截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百度APP信息流</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1、百度搜索拦截（420个关键词搜索、百度首页移动端：前3位优先展示、PC端：前5位优先展示）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2、百度APP信息流（百度首页第3、4、7条信息流，5000CPM曝光度）</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赠送：百度APP信息流广告500CPM/百度SEO优化/新闻发布通稿50篇/广告专题页搭建/400一键转接/留电短信通知/数据服务/地图矩阵维护</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1个月</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3680"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3</w:t>
            </w: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网易房产</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网易CPM精准投放</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信息流广告（上线高曝光的广告资源，涵盖网易新闻客户端（启动页、信息流大图、文章页底部大图等）热门广告资源。）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赠送：1、配合项目节点信息发布新闻，推送通稿；推送至网易房产频道首页、网易新闻客户端等位置。（项目提供稿件）  2、双屏联动，多角度，全方位软文推送，释放项目及活动信息，传播项目节点，植入项目教育配套、交通优势等亮点，打造千万级影响力。（网易供稿） 3、合作期间，配合项目活动，在“网易房产广州站”以及“楼市生活家”官方微信公众号平台栏目推送项目活动软文/炒作软文。3、网易房产致力与各企事业单位建立联谊关系，帮助各企业员工解决购房政策、购房注意事项及贷款咨询等问题。进驻名单由网易房产提供选择，项目方可选择企业进驻。（网易提供下午茶） 4、网易园区食堂集聚网易所有部门的员工、高管，具有投资高意向和置业能力强的特点，是人流最旺之地。项目前往食堂进行进驻，深入推广网易员工。（礼品由项目提供）</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1个月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156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粉丝节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线下展摆活动</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6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朋友圈广告</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腾讯广告</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微信朋友圈广告</w:t>
            </w:r>
          </w:p>
        </w:tc>
        <w:tc>
          <w:tcPr>
            <w:tcW w:w="1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100万CPM曝光</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7天</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920" w:hRule="atLeast"/>
        </w:trPr>
        <w:tc>
          <w:tcPr>
            <w:tcW w:w="448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费用合计（含税）：</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p>
        </w:tc>
      </w:tr>
    </w:tbl>
    <w:p>
      <w:pPr>
        <w:spacing w:line="360" w:lineRule="auto"/>
        <w:rPr>
          <w:rFonts w:ascii="仿宋_GB2312" w:hAnsi="仿宋_GB2312" w:eastAsia="仿宋_GB2312" w:cs="仿宋_GB2312"/>
          <w:b/>
          <w:bCs/>
          <w:szCs w:val="21"/>
          <w:highlight w:val="yellow"/>
        </w:rPr>
      </w:pP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keepNext/>
        <w:keepLines/>
        <w:spacing w:before="260" w:after="260" w:line="400" w:lineRule="exact"/>
        <w:outlineLvl w:val="1"/>
        <w:rPr>
          <w:rFonts w:ascii="仿宋_GB2312" w:hAnsi="Arial" w:eastAsia="仿宋_GB2312"/>
          <w:bCs/>
          <w:sz w:val="24"/>
          <w:szCs w:val="32"/>
        </w:rPr>
      </w:pPr>
      <w:r>
        <w:rPr>
          <w:rFonts w:hint="eastAsia" w:ascii="仿宋_GB2312" w:hAnsi="Arial" w:eastAsia="仿宋_GB2312"/>
          <w:bCs/>
          <w:sz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sz w:val="24"/>
        </w:rPr>
      </w:pP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广州市城壹房地产顾问有限公司：</w:t>
      </w:r>
    </w:p>
    <w:p>
      <w:pPr>
        <w:widowControl/>
        <w:tabs>
          <w:tab w:val="left" w:pos="7380"/>
        </w:tabs>
        <w:spacing w:line="480" w:lineRule="atLeast"/>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关于贵方</w:t>
      </w:r>
      <w:r>
        <w:rPr>
          <w:rFonts w:hint="eastAsia" w:ascii="仿宋_GB2312" w:hAnsi="宋体" w:eastAsia="仿宋_GB2312"/>
          <w:szCs w:val="21"/>
          <w:u w:val="single"/>
        </w:rPr>
        <w:t xml:space="preserve">                </w:t>
      </w:r>
      <w:r>
        <w:rPr>
          <w:rFonts w:hint="eastAsia" w:ascii="仿宋_GB2312" w:hAnsi="宋体" w:eastAsia="仿宋_GB2312"/>
          <w:szCs w:val="21"/>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本竞投人授权贵方及本项目竞选人可以向我单位开户银行查询我单位的财务状况。</w:t>
      </w:r>
    </w:p>
    <w:p>
      <w:pPr>
        <w:tabs>
          <w:tab w:val="left" w:pos="7380"/>
        </w:tabs>
        <w:spacing w:line="300" w:lineRule="auto"/>
        <w:rPr>
          <w:rFonts w:ascii="仿宋_GB2312" w:hAnsi="宋体" w:eastAsia="仿宋_GB2312"/>
          <w:szCs w:val="21"/>
        </w:rPr>
      </w:pPr>
    </w:p>
    <w:p>
      <w:pPr>
        <w:tabs>
          <w:tab w:val="left" w:pos="7380"/>
        </w:tabs>
        <w:spacing w:line="300" w:lineRule="auto"/>
        <w:rPr>
          <w:rFonts w:ascii="仿宋_GB2312" w:hAnsi="宋体" w:eastAsia="仿宋_GB2312"/>
          <w:szCs w:val="21"/>
        </w:rPr>
      </w:pPr>
      <w:r>
        <w:rPr>
          <w:rFonts w:hint="eastAsia" w:ascii="仿宋_GB2312" w:hAnsi="宋体" w:eastAsia="仿宋_GB2312"/>
          <w:szCs w:val="21"/>
        </w:rPr>
        <w:t>承诺：</w:t>
      </w:r>
    </w:p>
    <w:p>
      <w:pPr>
        <w:spacing w:line="480" w:lineRule="exact"/>
        <w:rPr>
          <w:rFonts w:ascii="仿宋_GB2312" w:hAnsi="宋体" w:eastAsia="仿宋_GB2312"/>
          <w:szCs w:val="21"/>
        </w:rPr>
      </w:pPr>
      <w:r>
        <w:rPr>
          <w:rFonts w:hint="eastAsia" w:ascii="仿宋_GB2312" w:hAnsi="宋体" w:eastAsia="仿宋_GB2312"/>
          <w:szCs w:val="21"/>
        </w:rPr>
        <w:t>1）我司没有被责令停业或破产状态的；</w:t>
      </w:r>
    </w:p>
    <w:p>
      <w:pPr>
        <w:spacing w:line="480" w:lineRule="exact"/>
        <w:rPr>
          <w:rFonts w:ascii="仿宋_GB2312" w:hAnsi="宋体" w:eastAsia="仿宋_GB2312"/>
          <w:szCs w:val="21"/>
        </w:rPr>
      </w:pPr>
      <w:r>
        <w:rPr>
          <w:rFonts w:hint="eastAsia" w:ascii="仿宋_GB2312" w:hAnsi="宋体" w:eastAsia="仿宋_GB2312"/>
          <w:szCs w:val="21"/>
        </w:rPr>
        <w:t>2）我司没有被暂停或取消竞投资格的；</w:t>
      </w:r>
    </w:p>
    <w:p>
      <w:pPr>
        <w:spacing w:line="480" w:lineRule="exact"/>
        <w:rPr>
          <w:rFonts w:ascii="仿宋_GB2312" w:hAnsi="宋体" w:eastAsia="仿宋_GB2312"/>
          <w:szCs w:val="21"/>
        </w:rPr>
      </w:pPr>
      <w:r>
        <w:rPr>
          <w:rFonts w:hint="eastAsia" w:ascii="仿宋_GB2312" w:hAnsi="宋体" w:eastAsia="仿宋_GB2312"/>
          <w:szCs w:val="21"/>
        </w:rPr>
        <w:t>3）我司没有财产被重组、接管、查封、扣押或冻结的；</w:t>
      </w:r>
    </w:p>
    <w:p>
      <w:pPr>
        <w:spacing w:line="480" w:lineRule="exact"/>
        <w:rPr>
          <w:rFonts w:ascii="仿宋_GB2312" w:hAnsi="宋体" w:eastAsia="仿宋_GB2312"/>
          <w:szCs w:val="21"/>
        </w:rPr>
      </w:pPr>
      <w:r>
        <w:rPr>
          <w:rFonts w:hint="eastAsia" w:ascii="仿宋_GB2312" w:hAnsi="宋体" w:eastAsia="仿宋_GB2312"/>
          <w:szCs w:val="21"/>
        </w:rPr>
        <w:t>4）我司没有在营业期间有骗取中标或严重违约的；</w:t>
      </w:r>
    </w:p>
    <w:p>
      <w:pPr>
        <w:spacing w:line="480" w:lineRule="exact"/>
        <w:rPr>
          <w:rFonts w:ascii="仿宋_GB2312" w:hAnsi="宋体" w:eastAsia="仿宋_GB2312"/>
          <w:szCs w:val="21"/>
        </w:rPr>
      </w:pPr>
      <w:r>
        <w:rPr>
          <w:rFonts w:hint="eastAsia" w:ascii="仿宋_GB2312" w:hAnsi="宋体" w:eastAsia="仿宋_GB2312"/>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szCs w:val="21"/>
        </w:rPr>
      </w:pPr>
    </w:p>
    <w:p>
      <w:pPr>
        <w:spacing w:line="300" w:lineRule="auto"/>
        <w:rPr>
          <w:rFonts w:ascii="仿宋_GB2312" w:hAnsi="宋体" w:eastAsia="仿宋_GB2312"/>
          <w:szCs w:val="21"/>
        </w:rPr>
      </w:pPr>
      <w:r>
        <w:rPr>
          <w:rFonts w:hint="eastAsia" w:ascii="仿宋_GB2312" w:hAnsi="宋体" w:eastAsia="仿宋_GB2312"/>
          <w:szCs w:val="21"/>
        </w:rPr>
        <w:t>竞投人名称:</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00" w:lineRule="auto"/>
        <w:rPr>
          <w:rFonts w:ascii="仿宋_GB2312" w:hAnsi="宋体" w:eastAsia="仿宋_GB2312"/>
          <w:szCs w:val="21"/>
        </w:rPr>
      </w:pPr>
    </w:p>
    <w:p>
      <w:pPr>
        <w:spacing w:line="300" w:lineRule="auto"/>
        <w:rPr>
          <w:rFonts w:ascii="仿宋_GB2312" w:hAnsi="宋体" w:eastAsia="仿宋_GB2312"/>
          <w:szCs w:val="21"/>
          <w:u w:val="single"/>
        </w:rPr>
      </w:pPr>
      <w:r>
        <w:rPr>
          <w:rFonts w:hint="eastAsia" w:ascii="仿宋_GB2312" w:hAnsi="宋体" w:eastAsia="仿宋_GB2312"/>
        </w:rPr>
        <w:t>竞投人授权代表签字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300" w:lineRule="auto"/>
        <w:rPr>
          <w:rFonts w:ascii="仿宋_GB2312" w:hAnsi="宋体" w:eastAsia="仿宋_GB2312"/>
          <w:szCs w:val="21"/>
          <w:u w:val="single"/>
        </w:rPr>
      </w:pPr>
    </w:p>
    <w:p>
      <w:pPr>
        <w:spacing w:line="300" w:lineRule="auto"/>
        <w:rPr>
          <w:rFonts w:ascii="仿宋_GB2312" w:hAnsi="宋体" w:eastAsia="仿宋_GB2312"/>
          <w:szCs w:val="21"/>
        </w:rPr>
      </w:pPr>
      <w:r>
        <w:rPr>
          <w:rFonts w:hint="eastAsia" w:ascii="仿宋_GB2312" w:hAnsi="宋体" w:eastAsia="仿宋_GB2312"/>
          <w:szCs w:val="21"/>
        </w:rPr>
        <w:t>日期：  年   月   日</w:t>
      </w:r>
    </w:p>
    <w:p>
      <w:pPr>
        <w:spacing w:line="300" w:lineRule="auto"/>
        <w:rPr>
          <w:rFonts w:ascii="宋体" w:hAnsi="宋体"/>
          <w:sz w:val="24"/>
        </w:rPr>
      </w:pPr>
    </w:p>
    <w:p>
      <w:pPr>
        <w:rPr>
          <w:rFonts w:ascii="仿宋_GB2312" w:eastAsia="仿宋_GB2312"/>
          <w:szCs w:val="21"/>
        </w:rPr>
      </w:pPr>
      <w:r>
        <w:rPr>
          <w:rFonts w:ascii="宋体" w:hAnsi="宋体" w:eastAsia="黑体"/>
          <w:b/>
          <w:bCs/>
          <w:sz w:val="24"/>
          <w:szCs w:val="32"/>
        </w:rPr>
        <w:br w:type="page"/>
      </w:r>
      <w:r>
        <w:rPr>
          <w:rFonts w:hint="eastAsia" w:ascii="仿宋_GB2312" w:eastAsia="仿宋_GB2312"/>
          <w:sz w:val="24"/>
        </w:rPr>
        <w:t>附件7：其他资料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keepNext/>
        <w:keepLines/>
        <w:spacing w:before="260" w:after="260" w:line="400" w:lineRule="exact"/>
        <w:jc w:val="center"/>
        <w:outlineLvl w:val="1"/>
        <w:rPr>
          <w:rFonts w:ascii="宋体" w:hAnsi="宋体" w:eastAsia="黑体"/>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b/>
          <w:bCs/>
          <w:sz w:val="28"/>
          <w:szCs w:val="28"/>
        </w:rPr>
      </w:pPr>
    </w:p>
    <w:tbl>
      <w:tblPr>
        <w:tblStyle w:val="11"/>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rPr>
            </w:pPr>
            <w:r>
              <w:rPr>
                <w:rFonts w:hint="eastAsia" w:ascii="仿宋_GB2312" w:hAnsi="宋体" w:eastAsia="仿宋_GB2312" w:cs="Arial"/>
                <w:sz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r>
    </w:tbl>
    <w:p>
      <w:pPr>
        <w:spacing w:line="400" w:lineRule="exact"/>
        <w:rPr>
          <w:rFonts w:ascii="仿宋_GB2312" w:hAnsi="宋体" w:eastAsia="仿宋_GB2312"/>
        </w:rPr>
      </w:pPr>
      <w:r>
        <w:rPr>
          <w:rFonts w:hint="eastAsia" w:ascii="仿宋_GB2312" w:hAnsi="宋体" w:eastAsia="仿宋_GB2312"/>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r>
        <w:rPr>
          <w:rFonts w:hint="eastAsia" w:ascii="仿宋" w:hAnsi="仿宋" w:eastAsia="仿宋"/>
          <w:szCs w:val="21"/>
        </w:rPr>
        <w:t>竞投</w:t>
      </w:r>
      <w:r>
        <w:rPr>
          <w:rFonts w:hint="eastAsia" w:ascii="仿宋_GB2312" w:hAnsi="宋体" w:eastAsia="仿宋_GB2312"/>
          <w:szCs w:val="21"/>
        </w:rPr>
        <w:t xml:space="preserve">人名称: </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400" w:lineRule="exact"/>
        <w:rPr>
          <w:rFonts w:ascii="仿宋_GB2312" w:hAnsi="宋体" w:eastAsia="仿宋_GB2312"/>
          <w:szCs w:val="21"/>
        </w:rPr>
      </w:pPr>
    </w:p>
    <w:p>
      <w:pPr>
        <w:spacing w:line="400" w:lineRule="exact"/>
        <w:rPr>
          <w:rFonts w:ascii="仿宋_GB2312" w:hAnsi="宋体" w:eastAsia="仿宋_GB2312"/>
          <w:szCs w:val="21"/>
          <w:u w:val="single"/>
        </w:rPr>
      </w:pPr>
      <w:r>
        <w:rPr>
          <w:rFonts w:hint="eastAsia" w:ascii="仿宋" w:hAnsi="仿宋" w:eastAsia="仿宋"/>
          <w:szCs w:val="21"/>
        </w:rPr>
        <w:t>竞投</w:t>
      </w:r>
      <w:r>
        <w:rPr>
          <w:rFonts w:hint="eastAsia" w:ascii="仿宋_GB2312" w:hAnsi="宋体" w:eastAsia="仿宋_GB2312"/>
        </w:rPr>
        <w:t>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400" w:lineRule="exact"/>
        <w:rPr>
          <w:rFonts w:ascii="仿宋_GB2312" w:hAnsi="宋体" w:eastAsia="仿宋_GB2312"/>
          <w:szCs w:val="21"/>
          <w:u w:val="single"/>
        </w:rPr>
      </w:pPr>
    </w:p>
    <w:p>
      <w:pPr>
        <w:spacing w:line="400" w:lineRule="exact"/>
        <w:rPr>
          <w:rFonts w:ascii="仿宋_GB2312" w:hAnsi="宋体" w:eastAsia="仿宋_GB2312"/>
        </w:rPr>
      </w:pPr>
      <w:r>
        <w:rPr>
          <w:rFonts w:hint="eastAsia" w:ascii="仿宋_GB2312" w:hAnsi="宋体" w:eastAsia="仿宋_GB2312"/>
        </w:rPr>
        <w:t>日期：  年   月   日</w:t>
      </w:r>
    </w:p>
    <w:p>
      <w:pPr>
        <w:spacing w:line="400" w:lineRule="exact"/>
        <w:rPr>
          <w:rFonts w:ascii="宋体" w:hAnsi="宋体"/>
        </w:rPr>
      </w:pPr>
    </w:p>
    <w:p>
      <w:pPr>
        <w:widowControl/>
        <w:spacing w:before="120" w:after="120" w:line="440" w:lineRule="exact"/>
        <w:rPr>
          <w:rFonts w:ascii="仿宋_GB2312" w:eastAsia="仿宋_GB2312"/>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620115C1"/>
    <w:multiLevelType w:val="singleLevel"/>
    <w:tmpl w:val="620115C1"/>
    <w:lvl w:ilvl="0" w:tentative="0">
      <w:start w:val="1"/>
      <w:numFmt w:val="chineseCounting"/>
      <w:suff w:val="nothing"/>
      <w:lvlText w:val="%1、"/>
      <w:lvlJc w:val="left"/>
      <w:rPr>
        <w:rFonts w:hint="eastAsia"/>
      </w:rPr>
    </w:lvl>
  </w:abstractNum>
  <w:abstractNum w:abstractNumId="3">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mM3ODM3MWVjMTBmZGFlMzQ2NjI4Yjc3MWI2NjAifQ=="/>
  </w:docVars>
  <w:rsids>
    <w:rsidRoot w:val="00A7327B"/>
    <w:rsid w:val="00013536"/>
    <w:rsid w:val="00033F48"/>
    <w:rsid w:val="00073D41"/>
    <w:rsid w:val="00080639"/>
    <w:rsid w:val="001600A9"/>
    <w:rsid w:val="00172AB6"/>
    <w:rsid w:val="001B7D0D"/>
    <w:rsid w:val="002270D0"/>
    <w:rsid w:val="002301CE"/>
    <w:rsid w:val="00276EBF"/>
    <w:rsid w:val="0028315E"/>
    <w:rsid w:val="00343F5C"/>
    <w:rsid w:val="003C7F1E"/>
    <w:rsid w:val="003E53D5"/>
    <w:rsid w:val="003F3EAC"/>
    <w:rsid w:val="00443264"/>
    <w:rsid w:val="004521B7"/>
    <w:rsid w:val="0050219E"/>
    <w:rsid w:val="00556797"/>
    <w:rsid w:val="005D6334"/>
    <w:rsid w:val="005E73A7"/>
    <w:rsid w:val="005F37BC"/>
    <w:rsid w:val="00612376"/>
    <w:rsid w:val="00616977"/>
    <w:rsid w:val="006F46AA"/>
    <w:rsid w:val="0072258B"/>
    <w:rsid w:val="00742C4E"/>
    <w:rsid w:val="00770BB7"/>
    <w:rsid w:val="0077736E"/>
    <w:rsid w:val="007870CE"/>
    <w:rsid w:val="00797F8E"/>
    <w:rsid w:val="007A74E0"/>
    <w:rsid w:val="007C3A13"/>
    <w:rsid w:val="0081416A"/>
    <w:rsid w:val="008C6760"/>
    <w:rsid w:val="0090760A"/>
    <w:rsid w:val="009726F2"/>
    <w:rsid w:val="00995D25"/>
    <w:rsid w:val="009B3457"/>
    <w:rsid w:val="00A310AB"/>
    <w:rsid w:val="00A7327B"/>
    <w:rsid w:val="00A84E79"/>
    <w:rsid w:val="00AA5458"/>
    <w:rsid w:val="00AD11B0"/>
    <w:rsid w:val="00AD65BD"/>
    <w:rsid w:val="00AE1756"/>
    <w:rsid w:val="00AF3D68"/>
    <w:rsid w:val="00B11DE2"/>
    <w:rsid w:val="00BB7A2F"/>
    <w:rsid w:val="00BF675F"/>
    <w:rsid w:val="00C92E68"/>
    <w:rsid w:val="00CA39FE"/>
    <w:rsid w:val="00CC1E84"/>
    <w:rsid w:val="00CC794A"/>
    <w:rsid w:val="00D419D7"/>
    <w:rsid w:val="00DF3640"/>
    <w:rsid w:val="00E2550B"/>
    <w:rsid w:val="00E52182"/>
    <w:rsid w:val="00EC6A86"/>
    <w:rsid w:val="00ED7045"/>
    <w:rsid w:val="00F2654D"/>
    <w:rsid w:val="00F6467A"/>
    <w:rsid w:val="046A5530"/>
    <w:rsid w:val="06D44D93"/>
    <w:rsid w:val="0C6F1ECE"/>
    <w:rsid w:val="0CC85974"/>
    <w:rsid w:val="0D420839"/>
    <w:rsid w:val="1209649F"/>
    <w:rsid w:val="14462D84"/>
    <w:rsid w:val="19E05CE3"/>
    <w:rsid w:val="1DAC2255"/>
    <w:rsid w:val="1DC225C9"/>
    <w:rsid w:val="1EEF4F06"/>
    <w:rsid w:val="21486D09"/>
    <w:rsid w:val="21681C9D"/>
    <w:rsid w:val="23CA2C9B"/>
    <w:rsid w:val="28014C3F"/>
    <w:rsid w:val="30CF1350"/>
    <w:rsid w:val="3732195D"/>
    <w:rsid w:val="38D95ED0"/>
    <w:rsid w:val="3E062BEB"/>
    <w:rsid w:val="3E892BF7"/>
    <w:rsid w:val="42142948"/>
    <w:rsid w:val="4497022A"/>
    <w:rsid w:val="44DE3F75"/>
    <w:rsid w:val="460B78B0"/>
    <w:rsid w:val="480B71C9"/>
    <w:rsid w:val="4E2375DE"/>
    <w:rsid w:val="503C2BE6"/>
    <w:rsid w:val="57545517"/>
    <w:rsid w:val="64DD1E60"/>
    <w:rsid w:val="677D186B"/>
    <w:rsid w:val="6B0C3803"/>
    <w:rsid w:val="6CE07597"/>
    <w:rsid w:val="719A1802"/>
    <w:rsid w:val="75033D8C"/>
    <w:rsid w:val="750D1A20"/>
    <w:rsid w:val="775A3168"/>
    <w:rsid w:val="7A8376CE"/>
    <w:rsid w:val="7D09557F"/>
    <w:rsid w:val="7EF4254F"/>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qFormat/>
    <w:uiPriority w:val="99"/>
    <w:pPr>
      <w:jc w:val="left"/>
    </w:pPr>
    <w:rPr>
      <w:rFonts w:asciiTheme="minorHAnsi" w:hAnsiTheme="minorHAnsi" w:cstheme="minorBidi"/>
    </w:rPr>
  </w:style>
  <w:style w:type="paragraph" w:styleId="5">
    <w:name w:val="Body Text"/>
    <w:basedOn w:val="1"/>
    <w:link w:val="29"/>
    <w:unhideWhenUsed/>
    <w:qFormat/>
    <w:uiPriority w:val="99"/>
    <w:pPr>
      <w:spacing w:after="120"/>
    </w:pPr>
  </w:style>
  <w:style w:type="paragraph" w:styleId="6">
    <w:name w:val="Body Text Indent"/>
    <w:basedOn w:val="1"/>
    <w:link w:val="20"/>
    <w:qFormat/>
    <w:uiPriority w:val="0"/>
    <w:pPr>
      <w:ind w:firstLine="570"/>
    </w:pPr>
    <w:rPr>
      <w:rFonts w:ascii="宋体" w:hAnsi="宋体" w:cstheme="minorBidi"/>
      <w:sz w:val="28"/>
      <w:szCs w:val="22"/>
    </w:rPr>
  </w:style>
  <w:style w:type="paragraph" w:styleId="7">
    <w:name w:val="Plain Text"/>
    <w:basedOn w:val="1"/>
    <w:link w:val="19"/>
    <w:qFormat/>
    <w:uiPriority w:val="0"/>
    <w:pPr>
      <w:spacing w:line="360" w:lineRule="auto"/>
      <w:ind w:firstLine="510"/>
    </w:pPr>
    <w:rPr>
      <w:rFonts w:ascii="宋体" w:hAnsi="Courier New" w:cstheme="minorBidi"/>
      <w:sz w:val="24"/>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标题 1 字符"/>
    <w:basedOn w:val="12"/>
    <w:link w:val="2"/>
    <w:qFormat/>
    <w:uiPriority w:val="0"/>
    <w:rPr>
      <w:rFonts w:ascii="Times New Roman" w:hAnsi="Times New Roman" w:eastAsia="宋体" w:cs="Times New Roman"/>
      <w:b/>
      <w:bCs/>
      <w:kern w:val="44"/>
      <w:sz w:val="44"/>
      <w:szCs w:val="44"/>
    </w:rPr>
  </w:style>
  <w:style w:type="character" w:customStyle="1" w:styleId="17">
    <w:name w:val="标题 2 字符"/>
    <w:basedOn w:val="12"/>
    <w:link w:val="3"/>
    <w:qFormat/>
    <w:uiPriority w:val="0"/>
    <w:rPr>
      <w:rFonts w:ascii="Arial" w:hAnsi="Arial" w:eastAsia="黑体" w:cs="Times New Roman"/>
      <w:b/>
      <w:bCs/>
      <w:sz w:val="32"/>
      <w:szCs w:val="32"/>
    </w:rPr>
  </w:style>
  <w:style w:type="character" w:customStyle="1" w:styleId="18">
    <w:name w:val="批注文字 字符"/>
    <w:link w:val="4"/>
    <w:semiHidden/>
    <w:qFormat/>
    <w:uiPriority w:val="0"/>
    <w:rPr>
      <w:rFonts w:eastAsia="宋体"/>
      <w:szCs w:val="24"/>
    </w:rPr>
  </w:style>
  <w:style w:type="character" w:customStyle="1" w:styleId="19">
    <w:name w:val="纯文本 字符"/>
    <w:link w:val="7"/>
    <w:qFormat/>
    <w:uiPriority w:val="0"/>
    <w:rPr>
      <w:rFonts w:ascii="宋体" w:hAnsi="Courier New" w:eastAsia="宋体"/>
      <w:sz w:val="24"/>
    </w:rPr>
  </w:style>
  <w:style w:type="character" w:customStyle="1" w:styleId="20">
    <w:name w:val="正文文本缩进 字符"/>
    <w:link w:val="6"/>
    <w:qFormat/>
    <w:uiPriority w:val="0"/>
    <w:rPr>
      <w:rFonts w:ascii="宋体" w:hAnsi="宋体" w:eastAsia="宋体"/>
      <w:sz w:val="28"/>
    </w:rPr>
  </w:style>
  <w:style w:type="character" w:customStyle="1" w:styleId="21">
    <w:name w:val="批注文字 Char1"/>
    <w:basedOn w:val="12"/>
    <w:semiHidden/>
    <w:qFormat/>
    <w:uiPriority w:val="99"/>
    <w:rPr>
      <w:rFonts w:ascii="Times New Roman" w:hAnsi="Times New Roman" w:eastAsia="宋体" w:cs="Times New Roman"/>
      <w:szCs w:val="24"/>
    </w:rPr>
  </w:style>
  <w:style w:type="character" w:customStyle="1" w:styleId="22">
    <w:name w:val="纯文本 Char1"/>
    <w:basedOn w:val="12"/>
    <w:semiHidden/>
    <w:qFormat/>
    <w:uiPriority w:val="99"/>
    <w:rPr>
      <w:rFonts w:ascii="宋体" w:hAnsi="Courier New" w:eastAsia="宋体" w:cs="Courier New"/>
      <w:szCs w:val="21"/>
    </w:rPr>
  </w:style>
  <w:style w:type="character" w:customStyle="1" w:styleId="23">
    <w:name w:val="正文文本缩进 Char1"/>
    <w:basedOn w:val="12"/>
    <w:semiHidden/>
    <w:qFormat/>
    <w:uiPriority w:val="99"/>
    <w:rPr>
      <w:rFonts w:ascii="Times New Roman" w:hAnsi="Times New Roman" w:eastAsia="宋体" w:cs="Times New Roman"/>
      <w:szCs w:val="24"/>
    </w:rPr>
  </w:style>
  <w:style w:type="paragraph" w:customStyle="1" w:styleId="24">
    <w:name w:val="彩色列表1"/>
    <w:basedOn w:val="1"/>
    <w:qFormat/>
    <w:uiPriority w:val="34"/>
    <w:pPr>
      <w:ind w:firstLine="420" w:firstLineChars="200"/>
    </w:pPr>
    <w:rPr>
      <w:rFonts w:ascii="Calibri" w:hAnsi="Calibri"/>
      <w:szCs w:val="22"/>
    </w:rPr>
  </w:style>
  <w:style w:type="paragraph" w:customStyle="1" w:styleId="25">
    <w:name w:val="正文_0_0"/>
    <w:qFormat/>
    <w:uiPriority w:val="0"/>
    <w:rPr>
      <w:rFonts w:ascii="Times New Roman" w:hAnsi="Times New Roman" w:eastAsia="宋体" w:cs="Times New Roman"/>
      <w:sz w:val="21"/>
      <w:lang w:val="en-US" w:eastAsia="zh-CN" w:bidi="ar-SA"/>
    </w:rPr>
  </w:style>
  <w:style w:type="paragraph" w:customStyle="1" w:styleId="26">
    <w:name w:val="列出段落1"/>
    <w:basedOn w:val="1"/>
    <w:qFormat/>
    <w:uiPriority w:val="1"/>
    <w:pPr>
      <w:ind w:firstLine="420" w:firstLineChars="200"/>
    </w:pPr>
  </w:style>
  <w:style w:type="paragraph" w:styleId="27">
    <w:name w:val="List Paragraph"/>
    <w:basedOn w:val="1"/>
    <w:qFormat/>
    <w:uiPriority w:val="1"/>
    <w:pPr>
      <w:ind w:firstLine="420" w:firstLineChars="200"/>
    </w:pPr>
    <w:rPr>
      <w:rFonts w:ascii="Calibri" w:hAnsi="Calibri"/>
      <w:szCs w:val="22"/>
    </w:rPr>
  </w:style>
  <w:style w:type="paragraph" w:customStyle="1" w:styleId="28">
    <w:name w:val="样式1"/>
    <w:basedOn w:val="1"/>
    <w:qFormat/>
    <w:uiPriority w:val="0"/>
    <w:pPr>
      <w:tabs>
        <w:tab w:val="left" w:pos="709"/>
      </w:tabs>
      <w:ind w:left="784" w:hanging="360"/>
    </w:pPr>
    <w:rPr>
      <w:rFonts w:ascii="宋体" w:hAnsi="宋体" w:eastAsia="楷体_GB2312"/>
      <w:sz w:val="26"/>
      <w:szCs w:val="20"/>
    </w:rPr>
  </w:style>
  <w:style w:type="character" w:customStyle="1" w:styleId="29">
    <w:name w:val="正文文本 字符"/>
    <w:basedOn w:val="12"/>
    <w:link w:val="5"/>
    <w:semiHidden/>
    <w:qFormat/>
    <w:uiPriority w:val="99"/>
    <w:rPr>
      <w:rFonts w:ascii="Times New Roman" w:hAnsi="Times New Roman" w:eastAsia="宋体" w:cs="Times New Roman"/>
      <w:szCs w:val="24"/>
    </w:rPr>
  </w:style>
  <w:style w:type="character" w:customStyle="1" w:styleId="30">
    <w:name w:val="批注框文本 字符"/>
    <w:basedOn w:val="12"/>
    <w:link w:val="8"/>
    <w:semiHidden/>
    <w:qFormat/>
    <w:uiPriority w:val="99"/>
    <w:rPr>
      <w:rFonts w:ascii="Times New Roman" w:hAnsi="Times New Roman" w:eastAsia="宋体" w:cs="Times New Roman"/>
      <w:sz w:val="18"/>
      <w:szCs w:val="18"/>
    </w:rPr>
  </w:style>
  <w:style w:type="character" w:customStyle="1" w:styleId="31">
    <w:name w:val="font51"/>
    <w:basedOn w:val="12"/>
    <w:qFormat/>
    <w:uiPriority w:val="0"/>
    <w:rPr>
      <w:rFonts w:hint="eastAsia" w:ascii="等线" w:hAnsi="等线" w:eastAsia="等线" w:cs="等线"/>
      <w:b/>
      <w:bCs/>
      <w:color w:val="000000"/>
      <w:sz w:val="20"/>
      <w:szCs w:val="20"/>
      <w:u w:val="none"/>
    </w:rPr>
  </w:style>
  <w:style w:type="character" w:customStyle="1" w:styleId="32">
    <w:name w:val="font31"/>
    <w:basedOn w:val="12"/>
    <w:qFormat/>
    <w:uiPriority w:val="0"/>
    <w:rPr>
      <w:rFonts w:hint="eastAsia" w:ascii="等线" w:hAnsi="等线" w:eastAsia="等线" w:cs="等线"/>
      <w:color w:val="000000"/>
      <w:sz w:val="20"/>
      <w:szCs w:val="20"/>
      <w:u w:val="none"/>
    </w:rPr>
  </w:style>
  <w:style w:type="character" w:customStyle="1" w:styleId="33">
    <w:name w:val="font21"/>
    <w:basedOn w:val="12"/>
    <w:qFormat/>
    <w:uiPriority w:val="0"/>
    <w:rPr>
      <w:rFonts w:hint="eastAsia" w:ascii="等线" w:hAnsi="等线" w:eastAsia="等线" w:cs="等线"/>
      <w:color w:val="000000"/>
      <w:sz w:val="18"/>
      <w:szCs w:val="18"/>
      <w:u w:val="none"/>
    </w:rPr>
  </w:style>
  <w:style w:type="character" w:customStyle="1" w:styleId="34">
    <w:name w:val="font41"/>
    <w:basedOn w:val="12"/>
    <w:qFormat/>
    <w:uiPriority w:val="0"/>
    <w:rPr>
      <w:rFonts w:hint="eastAsia" w:ascii="等线" w:hAnsi="等线" w:eastAsia="等线" w:cs="等线"/>
      <w:color w:val="000000"/>
      <w:sz w:val="20"/>
      <w:szCs w:val="20"/>
      <w:u w:val="none"/>
    </w:rPr>
  </w:style>
  <w:style w:type="character" w:customStyle="1" w:styleId="35">
    <w:name w:val="font01"/>
    <w:basedOn w:val="12"/>
    <w:qFormat/>
    <w:uiPriority w:val="0"/>
    <w:rPr>
      <w:rFonts w:hint="eastAsia" w:ascii="等线" w:hAnsi="等线" w:eastAsia="等线" w:cs="等线"/>
      <w:color w:val="000000"/>
      <w:sz w:val="18"/>
      <w:szCs w:val="18"/>
      <w:u w:val="none"/>
    </w:rPr>
  </w:style>
  <w:style w:type="character" w:customStyle="1" w:styleId="36">
    <w:name w:val="font11"/>
    <w:basedOn w:val="12"/>
    <w:qFormat/>
    <w:uiPriority w:val="0"/>
    <w:rPr>
      <w:rFonts w:hint="eastAsia" w:ascii="等线" w:hAnsi="等线" w:eastAsia="等线" w:cs="等线"/>
      <w:b/>
      <w:bCs/>
      <w:color w:val="000000"/>
      <w:sz w:val="20"/>
      <w:szCs w:val="20"/>
      <w:u w:val="none"/>
    </w:rPr>
  </w:style>
  <w:style w:type="paragraph" w:customStyle="1" w:styleId="37">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2588</Words>
  <Characters>14757</Characters>
  <Lines>122</Lines>
  <Paragraphs>34</Paragraphs>
  <TotalTime>1</TotalTime>
  <ScaleCrop>false</ScaleCrop>
  <LinksUpToDate>false</LinksUpToDate>
  <CharactersWithSpaces>17311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未知</cp:lastModifiedBy>
  <dcterms:modified xsi:type="dcterms:W3CDTF">2023-06-21T07:18:09Z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FD424D298F6641A1B26EC5A9CEBAC203_13</vt:lpwstr>
  </property>
</Properties>
</file>