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1"/>
        <w:jc w:val="center"/>
        <w:rPr>
          <w:rFonts w:ascii="仿宋_GB2312" w:hAnsi="宋体" w:eastAsia="仿宋_GB2312"/>
          <w:b/>
          <w:spacing w:val="100"/>
          <w:sz w:val="96"/>
          <w:szCs w:val="96"/>
        </w:rPr>
      </w:pPr>
    </w:p>
    <w:p>
      <w:pPr>
        <w:jc w:val="center"/>
        <w:rPr>
          <w:rFonts w:ascii="仿宋_GB2312" w:hAnsi="宋体" w:eastAsia="仿宋_GB2312"/>
          <w:bCs/>
          <w:color w:val="000000"/>
          <w:w w:val="150"/>
          <w:sz w:val="30"/>
          <w:szCs w:val="30"/>
        </w:rPr>
      </w:pPr>
      <w:r>
        <w:rPr>
          <w:rFonts w:hint="eastAsia" w:ascii="黑体" w:hAnsi="黑体" w:eastAsia="黑体" w:cs="黑体"/>
          <w:b/>
          <w:color w:val="000000"/>
          <w:sz w:val="52"/>
          <w:szCs w:val="52"/>
        </w:rPr>
        <w:t xml:space="preserve"> </w:t>
      </w:r>
    </w:p>
    <w:p>
      <w:pPr>
        <w:spacing w:line="360" w:lineRule="auto"/>
        <w:jc w:val="center"/>
        <w:rPr>
          <w:rFonts w:ascii="楷体" w:hAnsi="楷体" w:eastAsia="楷体"/>
          <w:b/>
          <w:sz w:val="52"/>
          <w:szCs w:val="48"/>
        </w:rPr>
      </w:pPr>
      <w:r>
        <w:rPr>
          <w:rFonts w:hint="eastAsia" w:ascii="楷体" w:hAnsi="楷体" w:eastAsia="楷体"/>
          <w:b/>
          <w:sz w:val="52"/>
          <w:szCs w:val="48"/>
        </w:rPr>
        <w:t>城隽雅苑北区</w:t>
      </w:r>
    </w:p>
    <w:p>
      <w:pPr>
        <w:spacing w:line="360" w:lineRule="auto"/>
        <w:jc w:val="center"/>
        <w:rPr>
          <w:rFonts w:ascii="楷体" w:hAnsi="楷体" w:eastAsia="楷体"/>
          <w:b/>
          <w:sz w:val="52"/>
          <w:szCs w:val="48"/>
        </w:rPr>
      </w:pPr>
      <w:r>
        <w:rPr>
          <w:rFonts w:hint="eastAsia" w:ascii="楷体" w:hAnsi="楷体" w:eastAsia="楷体"/>
          <w:b/>
          <w:sz w:val="52"/>
          <w:szCs w:val="48"/>
        </w:rPr>
        <w:t>公交车身广告服务项目</w:t>
      </w: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b/>
          <w:sz w:val="84"/>
          <w:szCs w:val="84"/>
        </w:rPr>
      </w:pPr>
      <w:r>
        <w:rPr>
          <w:rFonts w:hint="eastAsia" w:ascii="楷体" w:hAnsi="楷体" w:eastAsia="楷体"/>
          <w:b/>
          <w:sz w:val="84"/>
          <w:szCs w:val="84"/>
        </w:rPr>
        <w:t>竞选采购文件</w:t>
      </w:r>
    </w:p>
    <w:p>
      <w:pPr>
        <w:ind w:firstLine="1247" w:firstLineChars="345"/>
        <w:rPr>
          <w:rFonts w:ascii="楷体" w:hAnsi="楷体" w:eastAsia="楷体"/>
          <w:b/>
          <w:bCs/>
          <w:sz w:val="36"/>
          <w:szCs w:val="36"/>
        </w:rPr>
      </w:pPr>
    </w:p>
    <w:p>
      <w:pPr>
        <w:rPr>
          <w:rFonts w:ascii="楷体" w:hAnsi="楷体" w:eastAsia="楷体"/>
          <w:b/>
          <w:bCs/>
          <w:sz w:val="36"/>
          <w:szCs w:val="36"/>
        </w:rPr>
      </w:pPr>
    </w:p>
    <w:p>
      <w:pPr>
        <w:ind w:firstLine="1247" w:firstLineChars="345"/>
        <w:rPr>
          <w:rFonts w:ascii="楷体" w:hAnsi="楷体" w:eastAsia="楷体"/>
          <w:b/>
          <w:bCs/>
          <w:sz w:val="36"/>
          <w:szCs w:val="36"/>
        </w:rPr>
      </w:pPr>
    </w:p>
    <w:p>
      <w:pPr>
        <w:ind w:firstLine="1247" w:firstLineChars="345"/>
        <w:rPr>
          <w:rFonts w:ascii="楷体" w:hAnsi="楷体" w:eastAsia="楷体"/>
          <w:b/>
          <w:bCs/>
          <w:sz w:val="36"/>
          <w:szCs w:val="36"/>
        </w:rPr>
      </w:pPr>
    </w:p>
    <w:p>
      <w:pPr>
        <w:rPr>
          <w:rFonts w:ascii="楷体" w:hAnsi="楷体" w:eastAsia="楷体"/>
          <w:b/>
          <w:bCs/>
          <w:sz w:val="36"/>
          <w:szCs w:val="36"/>
        </w:rPr>
      </w:pPr>
    </w:p>
    <w:p>
      <w:pPr>
        <w:rPr>
          <w:rFonts w:ascii="楷体" w:hAnsi="楷体" w:eastAsia="楷体"/>
          <w:b/>
          <w:bCs/>
          <w:sz w:val="36"/>
          <w:szCs w:val="36"/>
        </w:rPr>
      </w:pPr>
    </w:p>
    <w:p>
      <w:pPr>
        <w:jc w:val="center"/>
        <w:rPr>
          <w:rFonts w:ascii="楷体" w:hAnsi="楷体" w:eastAsia="楷体" w:cs="宋体"/>
          <w:b/>
          <w:bCs/>
          <w:sz w:val="36"/>
          <w:szCs w:val="36"/>
        </w:rPr>
      </w:pPr>
    </w:p>
    <w:p>
      <w:pPr>
        <w:ind w:firstLine="2400" w:firstLineChars="747"/>
        <w:jc w:val="center"/>
        <w:rPr>
          <w:rFonts w:ascii="楷体" w:hAnsi="楷体" w:eastAsia="楷体" w:cs="宋体"/>
          <w:b/>
          <w:bCs/>
          <w:sz w:val="32"/>
          <w:szCs w:val="32"/>
        </w:rPr>
      </w:pPr>
    </w:p>
    <w:p>
      <w:pPr>
        <w:jc w:val="center"/>
        <w:rPr>
          <w:rFonts w:ascii="楷体" w:hAnsi="楷体" w:eastAsia="楷体" w:cs="宋体"/>
          <w:b/>
          <w:bCs/>
          <w:color w:val="000000"/>
          <w:sz w:val="32"/>
          <w:szCs w:val="32"/>
        </w:rPr>
      </w:pPr>
      <w:r>
        <w:rPr>
          <w:rFonts w:hint="eastAsia" w:ascii="楷体" w:hAnsi="楷体" w:eastAsia="楷体" w:cs="宋体"/>
          <w:b/>
          <w:bCs/>
          <w:sz w:val="32"/>
          <w:szCs w:val="32"/>
        </w:rPr>
        <w:t>2023</w:t>
      </w:r>
      <w:r>
        <w:rPr>
          <w:rFonts w:hint="eastAsia" w:ascii="楷体" w:hAnsi="楷体" w:eastAsia="楷体" w:cs="宋体"/>
          <w:b/>
          <w:bCs/>
          <w:color w:val="000000"/>
          <w:sz w:val="32"/>
          <w:szCs w:val="32"/>
        </w:rPr>
        <w:t>年6月21日</w:t>
      </w:r>
    </w:p>
    <w:p>
      <w:pPr>
        <w:jc w:val="center"/>
        <w:rPr>
          <w:rFonts w:ascii="仿宋_GB2312" w:eastAsia="仿宋_GB2312"/>
        </w:rPr>
      </w:pPr>
    </w:p>
    <w:p>
      <w:pPr>
        <w:keepNext/>
        <w:numPr>
          <w:ilvl w:val="0"/>
          <w:numId w:val="1"/>
        </w:numPr>
        <w:spacing w:line="400" w:lineRule="exact"/>
        <w:jc w:val="center"/>
        <w:outlineLvl w:val="0"/>
        <w:rPr>
          <w:rFonts w:ascii="仿宋_GB2312" w:hAnsi="宋体" w:eastAsia="仿宋_GB2312" w:cs="宋体"/>
          <w:b/>
          <w:bCs/>
          <w:spacing w:val="20"/>
          <w:kern w:val="44"/>
          <w:sz w:val="32"/>
          <w:szCs w:val="32"/>
        </w:rPr>
      </w:pPr>
      <w:bookmarkStart w:id="0" w:name="_Toc334797727"/>
      <w:r>
        <w:rPr>
          <w:rFonts w:ascii="仿宋_GB2312" w:hAnsi="宋体" w:eastAsia="仿宋_GB2312" w:cs="宋体"/>
          <w:spacing w:val="20"/>
          <w:sz w:val="32"/>
          <w:szCs w:val="32"/>
        </w:rPr>
        <w:br w:type="page"/>
      </w:r>
      <w:bookmarkEnd w:id="0"/>
      <w:r>
        <w:rPr>
          <w:rFonts w:hint="eastAsia" w:ascii="仿宋_GB2312" w:hAnsi="宋体" w:eastAsia="仿宋_GB2312" w:cs="宋体"/>
          <w:b/>
          <w:bCs/>
          <w:spacing w:val="20"/>
          <w:kern w:val="44"/>
          <w:sz w:val="32"/>
          <w:szCs w:val="32"/>
        </w:rPr>
        <w:t>竞选公告</w:t>
      </w:r>
    </w:p>
    <w:p>
      <w:pPr>
        <w:widowControl/>
        <w:spacing w:line="400" w:lineRule="exact"/>
        <w:rPr>
          <w:rFonts w:ascii="Calibri" w:hAnsi="Calibri"/>
        </w:rPr>
      </w:pPr>
    </w:p>
    <w:p>
      <w:pPr>
        <w:widowControl/>
        <w:spacing w:line="400" w:lineRule="exact"/>
        <w:jc w:val="center"/>
        <w:rPr>
          <w:rFonts w:ascii="仿宋_GB2312" w:hAnsi="宋体" w:eastAsia="仿宋_GB2312" w:cs="宋体"/>
          <w:b/>
          <w:bCs/>
          <w:spacing w:val="20"/>
          <w:kern w:val="44"/>
          <w:sz w:val="32"/>
          <w:szCs w:val="32"/>
        </w:rPr>
      </w:pPr>
      <w:r>
        <w:rPr>
          <w:rFonts w:hint="eastAsia" w:ascii="仿宋_GB2312" w:hAnsi="宋体" w:eastAsia="仿宋_GB2312" w:cs="宋体"/>
          <w:b/>
          <w:bCs/>
          <w:spacing w:val="20"/>
          <w:kern w:val="44"/>
          <w:sz w:val="32"/>
          <w:szCs w:val="32"/>
        </w:rPr>
        <w:t>城隽雅苑北区公交车身广告服务项目</w:t>
      </w:r>
    </w:p>
    <w:p>
      <w:pPr>
        <w:widowControl/>
        <w:spacing w:line="400" w:lineRule="exact"/>
        <w:jc w:val="center"/>
        <w:rPr>
          <w:rFonts w:ascii="仿宋_GB2312" w:hAnsi="宋体" w:eastAsia="仿宋_GB2312" w:cs="宋体"/>
          <w:b/>
          <w:bCs/>
          <w:spacing w:val="20"/>
          <w:kern w:val="44"/>
          <w:sz w:val="32"/>
          <w:szCs w:val="32"/>
        </w:rPr>
      </w:pPr>
      <w:r>
        <w:rPr>
          <w:rFonts w:hint="eastAsia" w:ascii="仿宋_GB2312" w:hAnsi="宋体" w:eastAsia="仿宋_GB2312" w:cs="宋体"/>
          <w:b/>
          <w:bCs/>
          <w:spacing w:val="20"/>
          <w:kern w:val="44"/>
          <w:sz w:val="32"/>
          <w:szCs w:val="32"/>
        </w:rPr>
        <w:t>竞选公告</w:t>
      </w:r>
    </w:p>
    <w:p>
      <w:pPr>
        <w:widowControl/>
        <w:spacing w:line="360" w:lineRule="auto"/>
        <w:rPr>
          <w:rFonts w:ascii="仿宋" w:hAnsi="仿宋" w:eastAsia="仿宋" w:cs="仿宋_GB2312"/>
          <w:kern w:val="0"/>
          <w:szCs w:val="21"/>
        </w:rPr>
      </w:pPr>
    </w:p>
    <w:p>
      <w:pPr>
        <w:widowControl/>
        <w:spacing w:line="360" w:lineRule="auto"/>
        <w:ind w:firstLine="480"/>
        <w:rPr>
          <w:rFonts w:ascii="仿宋" w:hAnsi="仿宋" w:eastAsia="仿宋" w:cs="仿宋_GB2312"/>
          <w:kern w:val="0"/>
          <w:sz w:val="24"/>
        </w:rPr>
      </w:pPr>
      <w:bookmarkStart w:id="1" w:name="OLE_LINK7"/>
      <w:r>
        <w:rPr>
          <w:rFonts w:hint="eastAsia" w:ascii="仿宋" w:hAnsi="仿宋" w:eastAsia="仿宋" w:cs="仿宋_GB2312"/>
          <w:kern w:val="0"/>
          <w:sz w:val="24"/>
        </w:rPr>
        <w:t>根据有关法律法规及相关采购管理规定，本着公平、公正、公开原则，拟对城隽雅苑北区项目公交车身广告服务项目进行公开竞选采购，按竞选采购程序选定相应服务单位，现将该竞选采购项目相关信息对外公开发布。</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请符合资格的意向竞投人自本公告发布时间起至竞投文件截止接收时间止，自行前往采购人处领取或网上自行下载相关文件/资料及信息，并按要求自行参与竞投工作。竞投人需对所有的竞投内容进行报价，不允许仅对部分内容进行竞投。竞投人需自行承担所有与其参加竞投有关的全部费用。</w:t>
      </w:r>
    </w:p>
    <w:p>
      <w:pPr>
        <w:widowControl/>
        <w:spacing w:line="360" w:lineRule="auto"/>
        <w:ind w:firstLine="480"/>
        <w:rPr>
          <w:rFonts w:ascii="仿宋" w:hAnsi="仿宋" w:eastAsia="仿宋" w:cs="仿宋_GB2312"/>
          <w:kern w:val="0"/>
          <w:sz w:val="24"/>
        </w:rPr>
      </w:pPr>
    </w:p>
    <w:p>
      <w:pPr>
        <w:spacing w:line="400" w:lineRule="exact"/>
        <w:rPr>
          <w:rFonts w:ascii="仿宋_GB2312" w:hAnsi="仿宋_GB2312" w:eastAsia="仿宋_GB2312" w:cs="仿宋_GB2312"/>
          <w:b/>
          <w:bCs/>
          <w:sz w:val="24"/>
        </w:rPr>
      </w:pPr>
      <w:r>
        <w:rPr>
          <w:rFonts w:hint="eastAsia" w:ascii="仿宋_GB2312" w:hAnsi="仿宋_GB2312" w:eastAsia="仿宋_GB2312" w:cs="仿宋_GB2312"/>
          <w:b/>
          <w:bCs/>
          <w:sz w:val="24"/>
        </w:rPr>
        <w:t>一、竞选项目内容说明</w:t>
      </w:r>
    </w:p>
    <w:p>
      <w:pPr>
        <w:spacing w:line="400" w:lineRule="exact"/>
        <w:jc w:val="left"/>
        <w:rPr>
          <w:rFonts w:ascii="仿宋" w:hAnsi="仿宋" w:eastAsia="仿宋" w:cs="仿宋_GB2312"/>
          <w:kern w:val="0"/>
          <w:sz w:val="24"/>
        </w:rPr>
      </w:pPr>
      <w:r>
        <w:rPr>
          <w:rFonts w:hint="eastAsia" w:ascii="仿宋_GB2312" w:hAnsi="仿宋_GB2312" w:eastAsia="仿宋_GB2312" w:cs="仿宋_GB2312"/>
          <w:sz w:val="24"/>
        </w:rPr>
        <w:t>（一）项目名称：</w:t>
      </w:r>
      <w:r>
        <w:rPr>
          <w:rFonts w:hint="eastAsia" w:ascii="仿宋" w:hAnsi="仿宋" w:eastAsia="仿宋" w:cs="仿宋_GB2312"/>
          <w:kern w:val="0"/>
          <w:sz w:val="24"/>
        </w:rPr>
        <w:t>城隽雅苑北区公交车身广告服务项目</w:t>
      </w:r>
    </w:p>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（二）项目内容：</w:t>
      </w:r>
      <w:r>
        <w:rPr>
          <w:rFonts w:hint="eastAsia" w:ascii="仿宋" w:hAnsi="仿宋" w:eastAsia="仿宋" w:cs="仿宋_GB2312"/>
          <w:kern w:val="0"/>
          <w:sz w:val="24"/>
        </w:rPr>
        <w:t>服务单位需按照招选人要求实现城隽雅苑北区项目公交车身广告服务项目，</w:t>
      </w:r>
      <w:r>
        <w:rPr>
          <w:rFonts w:hint="eastAsia" w:ascii="仿宋_GB2312" w:hAnsi="仿宋_GB2312" w:eastAsia="仿宋_GB2312" w:cs="仿宋_GB2312"/>
          <w:sz w:val="24"/>
        </w:rPr>
        <w:t>具体推广内容详见清单</w:t>
      </w:r>
    </w:p>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（三）项目地点：广州市番禺区新造镇城隽雅苑北区销售中心</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（四）项目限价：</w:t>
      </w:r>
      <w:bookmarkStart w:id="2" w:name="_Hlk112146153"/>
      <w:r>
        <w:rPr>
          <w:rFonts w:ascii="仿宋_GB2312" w:hAnsi="仿宋_GB2312" w:eastAsia="仿宋_GB2312" w:cs="仿宋_GB2312"/>
          <w:sz w:val="24"/>
        </w:rPr>
        <w:t xml:space="preserve"> </w:t>
      </w:r>
      <w:r>
        <w:rPr>
          <w:rFonts w:hint="eastAsia" w:ascii="仿宋_GB2312" w:hAnsi="仿宋_GB2312" w:eastAsia="仿宋_GB2312" w:cs="仿宋_GB2312"/>
          <w:sz w:val="24"/>
        </w:rPr>
        <w:t>231400.00元人民币</w:t>
      </w:r>
      <w:bookmarkEnd w:id="2"/>
      <w:r>
        <w:rPr>
          <w:rFonts w:hint="eastAsia" w:ascii="仿宋_GB2312" w:hAnsi="仿宋_GB2312" w:eastAsia="仿宋_GB2312" w:cs="仿宋_GB2312"/>
          <w:sz w:val="24"/>
        </w:rPr>
        <w:t>（含税）</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（五）本项目设置合理报价区间为[项目限价*80%，项目限价]</w:t>
      </w:r>
    </w:p>
    <w:p>
      <w:pPr>
        <w:spacing w:line="400" w:lineRule="exact"/>
        <w:rPr>
          <w:rFonts w:ascii="仿宋_GB2312" w:hAnsi="仿宋_GB2312" w:eastAsia="仿宋_GB2312" w:cs="仿宋_GB2312"/>
          <w:sz w:val="24"/>
        </w:rPr>
      </w:pPr>
    </w:p>
    <w:p>
      <w:pPr>
        <w:spacing w:line="400" w:lineRule="exact"/>
        <w:rPr>
          <w:rFonts w:ascii="仿宋_GB2312" w:hAnsi="仿宋_GB2312" w:eastAsia="仿宋_GB2312" w:cs="仿宋_GB2312"/>
          <w:b/>
          <w:bCs/>
          <w:sz w:val="24"/>
        </w:rPr>
      </w:pPr>
      <w:r>
        <w:rPr>
          <w:rFonts w:hint="eastAsia" w:ascii="仿宋_GB2312" w:hAnsi="仿宋_GB2312" w:eastAsia="仿宋_GB2312" w:cs="仿宋_GB2312"/>
          <w:b/>
          <w:bCs/>
          <w:sz w:val="24"/>
        </w:rPr>
        <w:t>二、供应商资格要求</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1、竞投人必须是国内合法注册的法人或其他组织, 并已办理合法税务登记，具有开具相应发票能力；</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2、竞投人须具备实施采购项目所需的广告服务的经营范围；</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3、本项目不接受联合体竞投。</w:t>
      </w:r>
    </w:p>
    <w:p>
      <w:pPr>
        <w:spacing w:line="400" w:lineRule="exact"/>
        <w:rPr>
          <w:rFonts w:ascii="仿宋" w:hAnsi="仿宋" w:eastAsia="仿宋" w:cs="仿宋_GB2312"/>
          <w:kern w:val="0"/>
          <w:sz w:val="24"/>
        </w:rPr>
      </w:pPr>
    </w:p>
    <w:p>
      <w:pPr>
        <w:spacing w:line="400" w:lineRule="exact"/>
        <w:rPr>
          <w:rFonts w:ascii="仿宋_GB2312" w:hAnsi="仿宋_GB2312" w:eastAsia="仿宋_GB2312" w:cs="仿宋_GB2312"/>
          <w:b/>
          <w:bCs/>
          <w:sz w:val="24"/>
        </w:rPr>
      </w:pPr>
      <w:r>
        <w:rPr>
          <w:rFonts w:hint="eastAsia" w:ascii="仿宋_GB2312" w:hAnsi="仿宋_GB2312" w:eastAsia="仿宋_GB2312" w:cs="仿宋_GB2312"/>
          <w:b/>
          <w:bCs/>
          <w:sz w:val="24"/>
        </w:rPr>
        <w:t>三、竞投资料及递交时间地点</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（一）公司资质的相关文件：公司营业执照（加盖公章）及公司基本情况介绍等资料。</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（二）城隽雅苑北区项目公交车身广告服务方案（含竞投报价清单以及服务事项等）。</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（三）竞投单位以密封形式提交竞投资料，本项目仅接受现场递交资料，快递方式提交资料将视为无效竞投。</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（四）竞投文件提交截止时间：2023年6月27日上午</w:t>
      </w:r>
      <w:r>
        <w:rPr>
          <w:rFonts w:hint="eastAsia" w:ascii="仿宋_GB2312" w:hAnsi="仿宋_GB2312" w:eastAsia="仿宋_GB2312" w:cs="仿宋_GB2312"/>
          <w:sz w:val="24"/>
          <w:lang w:val="en-US" w:eastAsia="zh-CN"/>
        </w:rPr>
        <w:t>9:00-</w:t>
      </w:r>
      <w:r>
        <w:rPr>
          <w:rFonts w:hint="eastAsia" w:ascii="仿宋_GB2312" w:hAnsi="仿宋_GB2312" w:eastAsia="仿宋_GB2312" w:cs="仿宋_GB2312"/>
          <w:sz w:val="24"/>
        </w:rPr>
        <w:t>9:30</w:t>
      </w:r>
    </w:p>
    <w:p>
      <w:pPr>
        <w:spacing w:line="400" w:lineRule="exact"/>
        <w:rPr>
          <w:rFonts w:ascii="仿宋_GB2312" w:hAnsi="仿宋_GB2312" w:eastAsia="仿宋_GB2312" w:cs="仿宋_GB2312"/>
          <w:color w:val="FF0000"/>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五</w:t>
      </w:r>
      <w:r>
        <w:rPr>
          <w:rFonts w:hint="eastAsia" w:ascii="仿宋_GB2312" w:hAnsi="仿宋_GB2312" w:eastAsia="仿宋_GB2312" w:cs="仿宋_GB2312"/>
          <w:sz w:val="24"/>
        </w:rPr>
        <w:t>）竞投文件提交截止时间：2023年6月27日上午9:30</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六</w:t>
      </w:r>
      <w:r>
        <w:rPr>
          <w:rFonts w:hint="eastAsia" w:ascii="仿宋_GB2312" w:hAnsi="仿宋_GB2312" w:eastAsia="仿宋_GB2312" w:cs="仿宋_GB2312"/>
          <w:sz w:val="24"/>
        </w:rPr>
        <w:t>）递交地址：广州市越秀区广电城投686产业园22楼。</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七</w:t>
      </w:r>
      <w:r>
        <w:rPr>
          <w:rFonts w:hint="eastAsia" w:ascii="仿宋_GB2312" w:hAnsi="仿宋_GB2312" w:eastAsia="仿宋_GB2312" w:cs="仿宋_GB2312"/>
          <w:sz w:val="24"/>
        </w:rPr>
        <w:t>）开评标时间：2023年6月27日上午10:00</w:t>
      </w:r>
    </w:p>
    <w:p>
      <w:pPr>
        <w:spacing w:line="400" w:lineRule="exact"/>
        <w:rPr>
          <w:rFonts w:ascii="仿宋_GB2312" w:hAnsi="仿宋_GB2312" w:eastAsia="仿宋_GB2312" w:cs="仿宋_GB2312"/>
          <w:sz w:val="24"/>
        </w:rPr>
      </w:pPr>
    </w:p>
    <w:p>
      <w:pPr>
        <w:spacing w:line="400" w:lineRule="exact"/>
        <w:rPr>
          <w:rFonts w:ascii="仿宋_GB2312" w:hAnsi="仿宋_GB2312" w:eastAsia="仿宋_GB2312" w:cs="仿宋_GB2312"/>
          <w:b/>
          <w:bCs/>
          <w:sz w:val="24"/>
        </w:rPr>
      </w:pPr>
      <w:r>
        <w:rPr>
          <w:rFonts w:hint="eastAsia" w:ascii="仿宋_GB2312" w:hAnsi="仿宋_GB2312" w:eastAsia="仿宋_GB2312" w:cs="仿宋_GB2312"/>
          <w:b/>
          <w:bCs/>
          <w:sz w:val="24"/>
        </w:rPr>
        <w:t>四、中选和公布</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一）本采购项目信息同步在采购人的官方网站（http://www.gzcityone.com/）发布，符合资格的意向竞投人可自行查阅或下载相关文件/资料及信息，并按要求自行参与竞投工作，并自行承担所有与其参加竞投有关的全部费用。</w:t>
      </w:r>
    </w:p>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二）经综合评审，综合得分最高且方案符合广州市城壹房地产顾问有限公司要求的竞投单位推荐为第一项目供应商。第一项目供应商放弃中选、或因不可抗力提出不能履行合同的，采购单位可以确定排名次高的第二项目供应商为项目供应商。</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（三）竞投文件的截止递交时间前，如递交的有效竞投文件少于三家，则采购招选工作失败。广州市城壹房地产顾问有限公司将按有关规定另行组织采购竞选工作。</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（四）本采购文件的最终解释权归采购人。</w:t>
      </w:r>
    </w:p>
    <w:p>
      <w:pPr>
        <w:spacing w:line="400" w:lineRule="exact"/>
        <w:rPr>
          <w:rFonts w:ascii="仿宋_GB2312" w:hAnsi="仿宋_GB2312" w:eastAsia="仿宋_GB2312" w:cs="仿宋_GB2312"/>
          <w:sz w:val="24"/>
        </w:rPr>
      </w:pP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公布时间: 竞投截止日起30日内</w:t>
      </w:r>
    </w:p>
    <w:p>
      <w:pPr>
        <w:spacing w:line="400" w:lineRule="exact"/>
        <w:rPr>
          <w:rFonts w:ascii="仿宋_GB2312" w:hAnsi="仿宋_GB2312" w:eastAsia="仿宋_GB2312" w:cs="仿宋_GB2312"/>
          <w:sz w:val="24"/>
        </w:rPr>
      </w:pPr>
    </w:p>
    <w:p>
      <w:pPr>
        <w:spacing w:line="400" w:lineRule="exact"/>
        <w:rPr>
          <w:rFonts w:ascii="仿宋_GB2312" w:hAnsi="仿宋_GB2312" w:eastAsia="仿宋_GB2312" w:cs="仿宋_GB2312"/>
          <w:b/>
          <w:bCs/>
          <w:sz w:val="24"/>
        </w:rPr>
      </w:pPr>
      <w:r>
        <w:rPr>
          <w:rFonts w:hint="eastAsia" w:ascii="仿宋_GB2312" w:hAnsi="仿宋_GB2312" w:eastAsia="仿宋_GB2312" w:cs="仿宋_GB2312"/>
          <w:b/>
          <w:bCs/>
          <w:sz w:val="24"/>
        </w:rPr>
        <w:t>五、采购单位名称、地址及联系方式</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采购人名称：广州市城壹房地产顾问有限公司</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采购人地址：广州市越秀区广电城投686产业园22楼城壹顾问</w:t>
      </w:r>
    </w:p>
    <w:p>
      <w:pPr>
        <w:spacing w:line="40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采购联系人：陈小姐</w:t>
      </w:r>
    </w:p>
    <w:p>
      <w:pPr>
        <w:snapToGrid w:val="0"/>
        <w:spacing w:line="40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联系方式：13434178251</w:t>
      </w:r>
    </w:p>
    <w:p>
      <w:pPr>
        <w:widowControl/>
        <w:spacing w:line="400" w:lineRule="exact"/>
        <w:rPr>
          <w:rFonts w:ascii="仿宋_GB2312" w:hAnsi="仿宋_GB2312" w:eastAsia="仿宋_GB2312" w:cs="仿宋_GB2312"/>
          <w:kern w:val="0"/>
          <w:sz w:val="24"/>
        </w:rPr>
      </w:pPr>
    </w:p>
    <w:p>
      <w:pPr>
        <w:widowControl/>
        <w:spacing w:line="400" w:lineRule="exact"/>
        <w:rPr>
          <w:rFonts w:ascii="仿宋_GB2312" w:hAnsi="仿宋_GB2312" w:eastAsia="仿宋_GB2312" w:cs="仿宋_GB2312"/>
          <w:kern w:val="0"/>
          <w:sz w:val="24"/>
        </w:rPr>
      </w:pPr>
    </w:p>
    <w:p>
      <w:pPr>
        <w:widowControl/>
        <w:spacing w:line="400" w:lineRule="exact"/>
        <w:ind w:right="480"/>
        <w:jc w:val="right"/>
        <w:rPr>
          <w:rFonts w:ascii="仿宋_GB2312" w:hAnsi="仿宋_GB2312" w:eastAsia="仿宋_GB2312" w:cs="仿宋_GB2312"/>
          <w:sz w:val="24"/>
        </w:rPr>
      </w:pPr>
      <w:r>
        <w:rPr>
          <w:rFonts w:hint="eastAsia" w:ascii="仿宋_GB2312" w:hAnsi="仿宋_GB2312" w:eastAsia="仿宋_GB2312" w:cs="仿宋_GB2312"/>
          <w:kern w:val="0"/>
          <w:sz w:val="24"/>
        </w:rPr>
        <w:t xml:space="preserve">                      </w:t>
      </w:r>
      <w:bookmarkStart w:id="3" w:name="_Hlk111890385"/>
      <w:r>
        <w:rPr>
          <w:rFonts w:hint="eastAsia" w:ascii="仿宋_GB2312" w:hAnsi="仿宋_GB2312" w:eastAsia="仿宋_GB2312" w:cs="仿宋_GB2312"/>
          <w:kern w:val="0"/>
          <w:sz w:val="24"/>
        </w:rPr>
        <w:t xml:space="preserve"> </w:t>
      </w:r>
      <w:bookmarkStart w:id="4" w:name="_Hlk111890499"/>
      <w:r>
        <w:rPr>
          <w:rFonts w:hint="eastAsia" w:ascii="仿宋_GB2312" w:hAnsi="仿宋_GB2312" w:eastAsia="仿宋_GB2312" w:cs="仿宋_GB2312"/>
          <w:sz w:val="24"/>
        </w:rPr>
        <w:t>广州市城壹房地产顾问有限公司</w:t>
      </w:r>
      <w:bookmarkEnd w:id="3"/>
      <w:bookmarkEnd w:id="4"/>
    </w:p>
    <w:p>
      <w:pPr>
        <w:widowControl/>
        <w:wordWrap w:val="0"/>
        <w:spacing w:line="400" w:lineRule="exact"/>
        <w:ind w:right="1200"/>
        <w:jc w:val="right"/>
        <w:rPr>
          <w:rFonts w:ascii="仿宋_GB2312" w:hAnsi="仿宋_GB2312" w:eastAsia="仿宋_GB2312" w:cs="仿宋_GB2312"/>
          <w:color w:val="FF0000"/>
          <w:sz w:val="24"/>
        </w:rPr>
      </w:pPr>
      <w:r>
        <w:rPr>
          <w:rFonts w:hint="eastAsia" w:ascii="仿宋_GB2312" w:hAnsi="仿宋_GB2312" w:eastAsia="仿宋_GB2312" w:cs="仿宋_GB2312"/>
          <w:kern w:val="0"/>
          <w:sz w:val="24"/>
        </w:rPr>
        <w:t>2023年6月21日</w:t>
      </w:r>
    </w:p>
    <w:p>
      <w:pPr>
        <w:widowControl/>
        <w:spacing w:line="360" w:lineRule="auto"/>
        <w:rPr>
          <w:rFonts w:ascii="仿宋" w:hAnsi="仿宋" w:eastAsia="仿宋" w:cs="仿宋_GB2312"/>
          <w:kern w:val="0"/>
          <w:sz w:val="24"/>
        </w:rPr>
      </w:pPr>
    </w:p>
    <w:bookmarkEnd w:id="1"/>
    <w:p>
      <w:pPr>
        <w:spacing w:line="360" w:lineRule="auto"/>
        <w:ind w:firstLine="480" w:firstLineChars="200"/>
        <w:jc w:val="center"/>
        <w:rPr>
          <w:rFonts w:ascii="仿宋_GB2312" w:eastAsia="仿宋_GB2312"/>
          <w:b/>
          <w:sz w:val="32"/>
          <w:szCs w:val="32"/>
        </w:rPr>
      </w:pPr>
      <w:bookmarkStart w:id="5" w:name="_Toc130180923"/>
      <w:bookmarkStart w:id="6" w:name="_Toc130180842"/>
      <w:bookmarkStart w:id="7" w:name="_Toc334797738"/>
      <w:bookmarkStart w:id="8" w:name="_Toc130180737"/>
      <w:bookmarkStart w:id="9" w:name="_Toc238282338"/>
      <w:r>
        <w:rPr>
          <w:rFonts w:ascii="仿宋" w:hAnsi="仿宋" w:eastAsia="仿宋" w:cs="仿宋_GB2312"/>
          <w:kern w:val="0"/>
          <w:sz w:val="24"/>
        </w:rPr>
        <w:br w:type="page"/>
      </w:r>
      <w:r>
        <w:rPr>
          <w:rFonts w:hint="eastAsia" w:ascii="仿宋_GB2312" w:hAnsi="宋体" w:eastAsia="仿宋_GB2312" w:cs="宋体"/>
          <w:sz w:val="32"/>
          <w:szCs w:val="32"/>
        </w:rPr>
        <w:t>二、</w:t>
      </w:r>
      <w:r>
        <w:rPr>
          <w:rFonts w:hint="eastAsia" w:ascii="仿宋_GB2312" w:eastAsia="仿宋_GB2312"/>
          <w:b/>
          <w:sz w:val="32"/>
          <w:szCs w:val="32"/>
        </w:rPr>
        <w:t>竞投须知</w:t>
      </w:r>
    </w:p>
    <w:p>
      <w:pPr>
        <w:jc w:val="center"/>
      </w:pP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一、总体说明</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 竞选适用范围</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1.1 项目竞选服务于广州市城壹房地产顾问有限公司。</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1.2 本竞选文件仅适用于本次公开竞选所叙述的城隽雅苑北区公交车身广告服务项目，本次竞选采用一次报价一次评标定标的方式，竞投人的报价必须固定，且只能根据采购方给予的方案作一个最有竞争力的设计和竞投人案，否则将作无效竞投处理。</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1.3 项目承包方式为合价包干形式。</w:t>
      </w:r>
    </w:p>
    <w:p>
      <w:pPr>
        <w:spacing w:line="400" w:lineRule="exact"/>
        <w:rPr>
          <w:rFonts w:ascii="仿宋_GB2312" w:hAnsi="仿宋_GB2312" w:eastAsia="仿宋_GB2312" w:cs="仿宋_GB2312"/>
          <w:sz w:val="24"/>
        </w:rPr>
      </w:pP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 定义及解释</w:t>
      </w:r>
    </w:p>
    <w:p>
      <w:pPr>
        <w:spacing w:line="400" w:lineRule="exact"/>
        <w:rPr>
          <w:rFonts w:ascii="仿宋_GB2312" w:hAnsi="仿宋_GB2312" w:eastAsia="仿宋_GB2312" w:cs="仿宋_GB2312"/>
        </w:rPr>
      </w:pPr>
      <w:r>
        <w:rPr>
          <w:rFonts w:hint="eastAsia" w:ascii="仿宋_GB2312" w:hAnsi="仿宋_GB2312" w:eastAsia="仿宋_GB2312" w:cs="仿宋_GB2312"/>
        </w:rPr>
        <w:t>2.1 竞选文件中的标题仅起引导作用，而不应视为对竞选文件的内容的理解和解释。</w:t>
      </w:r>
    </w:p>
    <w:p>
      <w:pPr>
        <w:spacing w:line="400" w:lineRule="exact"/>
        <w:rPr>
          <w:rFonts w:ascii="仿宋_GB2312" w:hAnsi="仿宋_GB2312" w:eastAsia="仿宋_GB2312" w:cs="仿宋_GB2312"/>
        </w:rPr>
      </w:pPr>
      <w:r>
        <w:rPr>
          <w:rFonts w:hint="eastAsia" w:ascii="仿宋_GB2312" w:hAnsi="仿宋_GB2312" w:eastAsia="仿宋_GB2312" w:cs="仿宋_GB2312"/>
        </w:rPr>
        <w:t>2.2 服务：指竞投人为满足竞选文件要求而提供的服务。</w:t>
      </w:r>
    </w:p>
    <w:p>
      <w:pPr>
        <w:spacing w:line="400" w:lineRule="exact"/>
        <w:rPr>
          <w:rFonts w:ascii="仿宋_GB2312" w:hAnsi="仿宋_GB2312" w:eastAsia="仿宋_GB2312" w:cs="仿宋_GB2312"/>
        </w:rPr>
      </w:pPr>
      <w:r>
        <w:rPr>
          <w:rFonts w:hint="eastAsia" w:ascii="仿宋_GB2312" w:hAnsi="仿宋_GB2312" w:eastAsia="仿宋_GB2312" w:cs="仿宋_GB2312"/>
        </w:rPr>
        <w:t>2.3 采购方：</w:t>
      </w:r>
      <w:r>
        <w:rPr>
          <w:rFonts w:hint="eastAsia" w:ascii="仿宋_GB2312" w:hAnsi="仿宋_GB2312" w:eastAsia="仿宋_GB2312" w:cs="仿宋_GB2312"/>
          <w:szCs w:val="21"/>
        </w:rPr>
        <w:t>广州市城壹房地产顾问有限公司</w:t>
      </w:r>
      <w:r>
        <w:rPr>
          <w:rFonts w:hint="eastAsia" w:ascii="仿宋_GB2312" w:hAnsi="仿宋_GB2312" w:eastAsia="仿宋_GB2312" w:cs="仿宋_GB2312"/>
        </w:rPr>
        <w:t>。</w:t>
      </w:r>
    </w:p>
    <w:p>
      <w:pPr>
        <w:spacing w:line="400" w:lineRule="exact"/>
        <w:rPr>
          <w:rFonts w:ascii="仿宋_GB2312" w:hAnsi="仿宋_GB2312" w:eastAsia="仿宋_GB2312" w:cs="仿宋_GB2312"/>
        </w:rPr>
      </w:pPr>
      <w:r>
        <w:rPr>
          <w:rFonts w:hint="eastAsia" w:ascii="仿宋_GB2312" w:hAnsi="仿宋_GB2312" w:eastAsia="仿宋_GB2312" w:cs="仿宋_GB2312"/>
        </w:rPr>
        <w:t>2.4 竞投人：指与竞选文件规定要求一致，响应竞选，参加竞选竞争的合法公司。</w:t>
      </w:r>
    </w:p>
    <w:p>
      <w:pPr>
        <w:spacing w:line="400" w:lineRule="exact"/>
        <w:rPr>
          <w:rFonts w:ascii="仿宋_GB2312" w:hAnsi="仿宋_GB2312" w:eastAsia="仿宋_GB2312" w:cs="仿宋_GB2312"/>
        </w:rPr>
      </w:pPr>
      <w:r>
        <w:rPr>
          <w:rFonts w:hint="eastAsia" w:ascii="仿宋_GB2312" w:hAnsi="仿宋_GB2312" w:eastAsia="仿宋_GB2312" w:cs="仿宋_GB2312"/>
        </w:rPr>
        <w:t>2.5 合格的竞投人：竞投人提供的所有服务，其来源地均应为中华人民共和国或与中华人民共和国有官方贸易关系的国家或地区。采购方将拒绝接受不合格的服务，并有权不予支付任何费用，同时保留追究相关责任的权利。</w:t>
      </w:r>
    </w:p>
    <w:p>
      <w:pPr>
        <w:spacing w:line="400" w:lineRule="exact"/>
        <w:rPr>
          <w:rFonts w:ascii="仿宋_GB2312" w:hAnsi="仿宋_GB2312" w:eastAsia="仿宋_GB2312" w:cs="仿宋_GB2312"/>
        </w:rPr>
      </w:pPr>
      <w:r>
        <w:rPr>
          <w:rFonts w:hint="eastAsia" w:ascii="仿宋_GB2312" w:hAnsi="仿宋_GB2312" w:eastAsia="仿宋_GB2312" w:cs="仿宋_GB2312"/>
        </w:rPr>
        <w:t>2.6 中标承判商：指经评标委员会评审推荐、采购方确认的获得本项目中标资格的竞投人。</w:t>
      </w:r>
    </w:p>
    <w:p>
      <w:pPr>
        <w:spacing w:line="400" w:lineRule="exact"/>
        <w:rPr>
          <w:rFonts w:ascii="仿宋_GB2312" w:hAnsi="仿宋_GB2312" w:eastAsia="仿宋_GB2312" w:cs="仿宋_GB2312"/>
        </w:rPr>
      </w:pPr>
      <w:r>
        <w:rPr>
          <w:rFonts w:hint="eastAsia" w:ascii="仿宋_GB2312" w:hAnsi="仿宋_GB2312" w:eastAsia="仿宋_GB2312" w:cs="仿宋_GB2312"/>
        </w:rPr>
        <w:t>2.7 合同：指依据本次服务竞投结果签订的协议。</w:t>
      </w:r>
    </w:p>
    <w:p>
      <w:pPr>
        <w:spacing w:line="400" w:lineRule="exact"/>
        <w:rPr>
          <w:rFonts w:ascii="仿宋_GB2312" w:hAnsi="宋体" w:eastAsia="仿宋_GB2312"/>
        </w:rPr>
      </w:pPr>
      <w:r>
        <w:rPr>
          <w:rFonts w:hint="eastAsia" w:ascii="仿宋_GB2312" w:hAnsi="宋体" w:eastAsia="仿宋_GB2312"/>
        </w:rPr>
        <w:t>2.8 日期：指公历日。</w:t>
      </w:r>
    </w:p>
    <w:p>
      <w:pPr>
        <w:spacing w:line="400" w:lineRule="exact"/>
        <w:rPr>
          <w:rFonts w:ascii="仿宋_GB2312" w:hAnsi="宋体" w:eastAsia="仿宋_GB2312"/>
        </w:rPr>
      </w:pPr>
      <w:r>
        <w:rPr>
          <w:rFonts w:hint="eastAsia" w:ascii="仿宋_GB2312" w:hAnsi="宋体" w:eastAsia="仿宋_GB2312"/>
        </w:rPr>
        <w:t>2.9 竞投适用法律：本次竞投适用的主要法律法规为《中华人民共和国招标投标法》及国家和地方政府竞投相关法规。</w:t>
      </w:r>
    </w:p>
    <w:p>
      <w:pPr>
        <w:spacing w:line="400" w:lineRule="exact"/>
        <w:rPr>
          <w:rFonts w:ascii="仿宋_GB2312" w:hAnsi="宋体" w:eastAsia="仿宋_GB2312"/>
          <w:sz w:val="24"/>
        </w:rPr>
      </w:pPr>
    </w:p>
    <w:p>
      <w:pPr>
        <w:spacing w:line="400" w:lineRule="exact"/>
        <w:rPr>
          <w:rFonts w:ascii="仿宋_GB2312" w:hAnsi="宋体" w:eastAsia="仿宋_GB2312"/>
          <w:sz w:val="24"/>
        </w:rPr>
      </w:pPr>
      <w:r>
        <w:rPr>
          <w:rFonts w:hint="eastAsia" w:ascii="仿宋_GB2312" w:hAnsi="宋体" w:eastAsia="仿宋_GB2312"/>
          <w:sz w:val="24"/>
        </w:rPr>
        <w:t>3. 竞投费用</w:t>
      </w:r>
    </w:p>
    <w:p>
      <w:pPr>
        <w:spacing w:line="400" w:lineRule="exact"/>
        <w:rPr>
          <w:rFonts w:ascii="仿宋_GB2312" w:hAnsi="宋体" w:eastAsia="仿宋_GB2312"/>
        </w:rPr>
      </w:pPr>
      <w:r>
        <w:rPr>
          <w:rFonts w:hint="eastAsia" w:ascii="仿宋_GB2312" w:hAnsi="宋体" w:eastAsia="仿宋_GB2312"/>
        </w:rPr>
        <w:t>3.1 本采购项目不设竞投保证金。</w:t>
      </w:r>
    </w:p>
    <w:p>
      <w:pPr>
        <w:spacing w:line="400" w:lineRule="exact"/>
        <w:rPr>
          <w:rFonts w:ascii="仿宋_GB2312" w:hAnsi="宋体" w:eastAsia="仿宋_GB2312"/>
        </w:rPr>
      </w:pPr>
      <w:r>
        <w:rPr>
          <w:rFonts w:hint="eastAsia" w:ascii="仿宋_GB2312" w:hAnsi="宋体" w:eastAsia="仿宋_GB2312"/>
        </w:rPr>
        <w:t>3.2竞投人自行承担所有与编写和提交竞投文件的有关一切费用。</w:t>
      </w:r>
    </w:p>
    <w:p>
      <w:pPr>
        <w:spacing w:line="400" w:lineRule="exact"/>
        <w:rPr>
          <w:rFonts w:ascii="Calibri" w:hAnsi="Calibri"/>
        </w:rPr>
      </w:pPr>
    </w:p>
    <w:p>
      <w:pPr>
        <w:spacing w:line="400" w:lineRule="exact"/>
        <w:rPr>
          <w:rFonts w:ascii="仿宋_GB2312" w:hAnsi="宋体" w:eastAsia="仿宋_GB2312"/>
          <w:sz w:val="24"/>
        </w:rPr>
      </w:pPr>
      <w:r>
        <w:rPr>
          <w:rFonts w:hint="eastAsia" w:ascii="仿宋_GB2312" w:hAnsi="宋体" w:eastAsia="仿宋_GB2312"/>
          <w:sz w:val="24"/>
        </w:rPr>
        <w:t>二、竞投文件</w:t>
      </w:r>
    </w:p>
    <w:p>
      <w:pPr>
        <w:spacing w:line="400" w:lineRule="exact"/>
        <w:rPr>
          <w:rFonts w:ascii="仿宋_GB2312" w:hAnsi="宋体" w:eastAsia="仿宋_GB2312"/>
          <w:sz w:val="24"/>
        </w:rPr>
      </w:pPr>
      <w:r>
        <w:rPr>
          <w:rFonts w:hint="eastAsia" w:ascii="仿宋_GB2312" w:hAnsi="宋体" w:eastAsia="仿宋_GB2312"/>
          <w:sz w:val="24"/>
        </w:rPr>
        <w:t>4. 竞投文件的构成</w:t>
      </w:r>
    </w:p>
    <w:p>
      <w:pPr>
        <w:spacing w:line="400" w:lineRule="exact"/>
        <w:rPr>
          <w:rFonts w:ascii="仿宋_GB2312" w:hAnsi="宋体" w:eastAsia="仿宋_GB2312"/>
        </w:rPr>
      </w:pPr>
      <w:r>
        <w:rPr>
          <w:rFonts w:hint="eastAsia" w:ascii="仿宋_GB2312" w:hAnsi="宋体" w:eastAsia="仿宋_GB2312"/>
        </w:rPr>
        <w:t>4.1 关于竞投文件：竞投文件是采购方作为阐明所需服务的基本要求，竞投文件、评选结果、合同书和相关承诺确认文件均作为任何一方当事人履约的重要依据。</w:t>
      </w:r>
    </w:p>
    <w:p>
      <w:pPr>
        <w:spacing w:line="400" w:lineRule="exact"/>
        <w:rPr>
          <w:rFonts w:ascii="仿宋_GB2312" w:hAnsi="宋体" w:eastAsia="仿宋_GB2312"/>
        </w:rPr>
      </w:pPr>
      <w:r>
        <w:rPr>
          <w:rFonts w:hint="eastAsia" w:ascii="仿宋_GB2312" w:hAnsi="宋体" w:eastAsia="仿宋_GB2312"/>
        </w:rPr>
        <w:t>4.2 竞投文件应装钉牢固不可拆卸，如因装钉不牢固导致的任何损失由竞投人承担。</w:t>
      </w:r>
    </w:p>
    <w:p>
      <w:pPr>
        <w:spacing w:line="400" w:lineRule="exact"/>
        <w:rPr>
          <w:rFonts w:ascii="仿宋_GB2312" w:hAnsi="宋体" w:eastAsia="仿宋_GB2312"/>
        </w:rPr>
      </w:pPr>
      <w:r>
        <w:rPr>
          <w:rFonts w:hint="eastAsia" w:ascii="仿宋_GB2312" w:hAnsi="宋体" w:eastAsia="仿宋_GB2312"/>
        </w:rPr>
        <w:t>4.3 所有竞投文件（除特殊规格的图纸等外）应按A4规格制作。</w:t>
      </w:r>
    </w:p>
    <w:p>
      <w:pPr>
        <w:spacing w:line="400" w:lineRule="exact"/>
        <w:rPr>
          <w:rFonts w:ascii="仿宋_GB2312" w:hAnsi="宋体" w:eastAsia="仿宋_GB2312"/>
        </w:rPr>
      </w:pPr>
      <w:r>
        <w:rPr>
          <w:rFonts w:hint="eastAsia" w:ascii="仿宋_GB2312" w:hAnsi="宋体" w:eastAsia="仿宋_GB2312"/>
        </w:rPr>
        <w:t>4.4 竞投人应认真阅读竞投文件中所有的事项、格式、条款等。竞投人没有按照竞投文件要求提交全部资料，或者竞投文件中没有对各方面作实质响应致使竞投人存在相关风险的，可能导致其竞投被拒绝。</w:t>
      </w:r>
    </w:p>
    <w:p>
      <w:pPr>
        <w:spacing w:line="400" w:lineRule="exact"/>
        <w:rPr>
          <w:rFonts w:ascii="仿宋_GB2312" w:hAnsi="仿宋_GB2312" w:eastAsia="仿宋_GB2312" w:cs="仿宋_GB2312"/>
        </w:rPr>
      </w:pPr>
      <w:r>
        <w:rPr>
          <w:rFonts w:hint="eastAsia" w:ascii="仿宋_GB2312" w:hAnsi="仿宋_GB2312" w:eastAsia="仿宋_GB2312" w:cs="仿宋_GB2312"/>
        </w:rPr>
        <w:t>4.5 竞投人如对竞选文件有任何疑问，均应在规定时间的竞投答疑会上或前以书面形式（包括书面文字、电传、传真、电报等，应加盖公章）向采购方提出澄清要求。</w:t>
      </w:r>
    </w:p>
    <w:p>
      <w:pPr>
        <w:spacing w:line="400" w:lineRule="exact"/>
        <w:rPr>
          <w:rFonts w:ascii="仿宋_GB2312" w:hAnsi="仿宋_GB2312" w:eastAsia="仿宋_GB2312" w:cs="仿宋_GB2312"/>
        </w:rPr>
      </w:pPr>
      <w:r>
        <w:rPr>
          <w:rFonts w:hint="eastAsia" w:ascii="仿宋_GB2312" w:hAnsi="仿宋_GB2312" w:eastAsia="仿宋_GB2312" w:cs="仿宋_GB2312"/>
        </w:rPr>
        <w:t>4.6 对竞投文件进行必要的澄清修改或对竞投人澄清要求的回复，采购方将视情况确定采用适当方式予以澄清或以书面形式予以答复，并在其认为必要时，将不标明询问来源的书面答复发送给每个购买竞选文件的竞投人；竞投人在收到澄清或修改通知后24小时内应立即以书面形式（应加盖公章）予以确认，逾期不提交书面确认的，视为已确认。</w:t>
      </w:r>
    </w:p>
    <w:p>
      <w:pPr>
        <w:spacing w:line="400" w:lineRule="exact"/>
        <w:rPr>
          <w:rFonts w:ascii="仿宋_GB2312" w:hAnsi="仿宋_GB2312" w:eastAsia="仿宋_GB2312" w:cs="仿宋_GB2312"/>
        </w:rPr>
      </w:pPr>
      <w:r>
        <w:rPr>
          <w:rFonts w:hint="eastAsia" w:ascii="仿宋_GB2312" w:hAnsi="仿宋_GB2312" w:eastAsia="仿宋_GB2312" w:cs="仿宋_GB2312"/>
        </w:rPr>
        <w:t>4.7 竞选过程中的一切修改文件或补充文件一旦确认后与竞投文件具有同等法律效力，竞投人有责任履行相应的义务。</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5. 竞选文件的修改与撤回</w:t>
      </w:r>
    </w:p>
    <w:p>
      <w:pPr>
        <w:spacing w:line="400" w:lineRule="exact"/>
        <w:rPr>
          <w:rFonts w:ascii="仿宋_GB2312" w:hAnsi="仿宋_GB2312" w:eastAsia="仿宋_GB2312" w:cs="仿宋_GB2312"/>
        </w:rPr>
      </w:pPr>
      <w:r>
        <w:rPr>
          <w:rFonts w:hint="eastAsia" w:ascii="仿宋_GB2312" w:hAnsi="仿宋_GB2312" w:eastAsia="仿宋_GB2312" w:cs="仿宋_GB2312"/>
        </w:rPr>
        <w:t>5.1 在竞投截止时间之前，竞投人可以修改或撤回其竞投文件，但须书面通知采购方。</w:t>
      </w:r>
    </w:p>
    <w:p>
      <w:pPr>
        <w:spacing w:line="400" w:lineRule="exact"/>
        <w:rPr>
          <w:rFonts w:ascii="仿宋_GB2312" w:hAnsi="仿宋_GB2312" w:eastAsia="仿宋_GB2312" w:cs="仿宋_GB2312"/>
        </w:rPr>
      </w:pPr>
      <w:r>
        <w:rPr>
          <w:rFonts w:hint="eastAsia" w:ascii="仿宋_GB2312" w:hAnsi="仿宋_GB2312" w:eastAsia="仿宋_GB2312" w:cs="仿宋_GB2312"/>
        </w:rPr>
        <w:t>5.2 在竞投截止时间之后，采购方不接受竞投人对竞投文件做任何修改及撤回。</w:t>
      </w:r>
    </w:p>
    <w:p>
      <w:pPr>
        <w:spacing w:line="400" w:lineRule="exact"/>
        <w:rPr>
          <w:rFonts w:ascii="仿宋_GB2312" w:hAnsi="仿宋_GB2312" w:eastAsia="仿宋_GB2312" w:cs="仿宋_GB2312"/>
          <w:sz w:val="24"/>
        </w:rPr>
      </w:pP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三、竞投文件的编制</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6. 竞投语言及计量</w:t>
      </w:r>
    </w:p>
    <w:p>
      <w:pPr>
        <w:spacing w:line="400" w:lineRule="exact"/>
        <w:rPr>
          <w:rFonts w:ascii="仿宋_GB2312" w:hAnsi="仿宋_GB2312" w:eastAsia="仿宋_GB2312" w:cs="仿宋_GB2312"/>
        </w:rPr>
      </w:pPr>
      <w:r>
        <w:rPr>
          <w:rFonts w:hint="eastAsia" w:ascii="仿宋_GB2312" w:hAnsi="仿宋_GB2312" w:eastAsia="仿宋_GB2312" w:cs="仿宋_GB2312"/>
        </w:rPr>
        <w:t>6.1 竞投文件以及竞投人为采购方就有关竞投的往来函电均使用中文。竞投人提交的支持性文件和印制的文件可以用另一种语言，但相应内容应翻译成中文，在解释竞投文件时以中文文本为准。</w:t>
      </w:r>
    </w:p>
    <w:p>
      <w:pPr>
        <w:spacing w:line="400" w:lineRule="exact"/>
        <w:rPr>
          <w:rFonts w:ascii="仿宋_GB2312" w:hAnsi="仿宋_GB2312" w:eastAsia="仿宋_GB2312" w:cs="仿宋_GB2312"/>
        </w:rPr>
      </w:pPr>
      <w:r>
        <w:rPr>
          <w:rFonts w:hint="eastAsia" w:ascii="仿宋_GB2312" w:hAnsi="仿宋_GB2312" w:eastAsia="仿宋_GB2312" w:cs="仿宋_GB2312"/>
        </w:rPr>
        <w:t>6.2 竞投人必须以人民币报价。竞投文件的大写金额和小写金额不一致的，以大写金额为准；总价金额与按单价汇总金额不一致的，以单价金额计算结果为准；单价金额小数点有明显错位的，应以总价为准，并修改单价；对不同文字文本竞投文件的解释发生异议的，以中文文本为准。</w:t>
      </w:r>
    </w:p>
    <w:p>
      <w:pPr>
        <w:spacing w:line="400" w:lineRule="exact"/>
        <w:rPr>
          <w:rFonts w:ascii="仿宋_GB2312" w:hAnsi="仿宋_GB2312" w:eastAsia="仿宋_GB2312" w:cs="仿宋_GB2312"/>
        </w:rPr>
      </w:pPr>
      <w:r>
        <w:rPr>
          <w:rFonts w:hint="eastAsia" w:ascii="仿宋_GB2312" w:hAnsi="仿宋_GB2312" w:eastAsia="仿宋_GB2312" w:cs="仿宋_GB2312"/>
        </w:rPr>
        <w:t>6.3 竞投人须按照竞选文件指定的格式填写各种价格单，价格单中的报价应计算正确。</w:t>
      </w:r>
    </w:p>
    <w:p>
      <w:pPr>
        <w:spacing w:line="400" w:lineRule="exact"/>
        <w:rPr>
          <w:rFonts w:ascii="仿宋_GB2312" w:hAnsi="仿宋_GB2312" w:eastAsia="仿宋_GB2312" w:cs="仿宋_GB2312"/>
          <w:sz w:val="24"/>
        </w:rPr>
      </w:pP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7. 竞投文件内容</w:t>
      </w:r>
    </w:p>
    <w:p>
      <w:pPr>
        <w:spacing w:line="400" w:lineRule="exact"/>
        <w:rPr>
          <w:rFonts w:ascii="仿宋_GB2312" w:hAnsi="仿宋_GB2312" w:eastAsia="仿宋_GB2312" w:cs="仿宋_GB2312"/>
        </w:rPr>
      </w:pPr>
      <w:r>
        <w:rPr>
          <w:rFonts w:hint="eastAsia" w:ascii="仿宋_GB2312" w:hAnsi="仿宋_GB2312" w:eastAsia="仿宋_GB2312" w:cs="仿宋_GB2312"/>
        </w:rPr>
        <w:t>7.1 竞投人编写的竞投文件及排序应包括下列部分：</w:t>
      </w:r>
    </w:p>
    <w:p>
      <w:pPr>
        <w:spacing w:line="400" w:lineRule="exact"/>
        <w:rPr>
          <w:rFonts w:ascii="仿宋_GB2312" w:hAnsi="仿宋_GB2312" w:eastAsia="仿宋_GB2312" w:cs="仿宋_GB2312"/>
        </w:rPr>
      </w:pPr>
      <w:r>
        <w:rPr>
          <w:rFonts w:hint="eastAsia" w:ascii="仿宋_GB2312" w:hAnsi="仿宋_GB2312" w:eastAsia="仿宋_GB2312" w:cs="仿宋_GB2312"/>
        </w:rPr>
        <w:t>1）竞投人公司资质等相关证明文件；</w:t>
      </w:r>
    </w:p>
    <w:p>
      <w:pPr>
        <w:spacing w:line="400" w:lineRule="exact"/>
        <w:rPr>
          <w:rFonts w:ascii="仿宋_GB2312" w:hAnsi="仿宋_GB2312" w:eastAsia="仿宋_GB2312" w:cs="仿宋_GB2312"/>
        </w:rPr>
      </w:pPr>
      <w:r>
        <w:rPr>
          <w:rFonts w:hint="eastAsia" w:ascii="仿宋_GB2312" w:hAnsi="仿宋_GB2312" w:eastAsia="仿宋_GB2312" w:cs="仿宋_GB2312"/>
        </w:rPr>
        <w:t>（2）竞投报价执行清单（参考附件5）；</w:t>
      </w:r>
    </w:p>
    <w:p>
      <w:pPr>
        <w:spacing w:line="400" w:lineRule="exact"/>
        <w:rPr>
          <w:rFonts w:ascii="仿宋_GB2312" w:hAnsi="仿宋_GB2312" w:eastAsia="仿宋_GB2312" w:cs="仿宋_GB2312"/>
        </w:rPr>
      </w:pPr>
      <w:r>
        <w:rPr>
          <w:rFonts w:hint="eastAsia" w:ascii="仿宋_GB2312" w:hAnsi="仿宋_GB2312" w:eastAsia="仿宋_GB2312" w:cs="仿宋_GB2312"/>
        </w:rPr>
        <w:t>（3）服务响应文件，包括但不限于以下内容：</w:t>
      </w:r>
    </w:p>
    <w:p>
      <w:pPr>
        <w:spacing w:line="400" w:lineRule="exact"/>
        <w:rPr>
          <w:rFonts w:ascii="仿宋_GB2312" w:hAnsi="仿宋_GB2312" w:eastAsia="仿宋_GB2312" w:cs="仿宋_GB2312"/>
        </w:rPr>
      </w:pPr>
      <w:r>
        <w:rPr>
          <w:rFonts w:hint="eastAsia" w:ascii="仿宋_GB2312" w:hAnsi="仿宋_GB2312" w:eastAsia="仿宋_GB2312" w:cs="仿宋_GB2312"/>
        </w:rPr>
        <w:t>按本须知规定填写的项目竞投函（参考见附件2），法定代表人证明及授权书（参考附件3），竞投报价表（参考附件4），资格文件声明的函（参考附件6）及业绩一览表（参考见附件7）</w:t>
      </w:r>
    </w:p>
    <w:p>
      <w:pPr>
        <w:spacing w:line="400" w:lineRule="exact"/>
        <w:rPr>
          <w:rFonts w:ascii="仿宋_GB2312" w:hAnsi="仿宋_GB2312" w:eastAsia="仿宋_GB2312" w:cs="仿宋_GB2312"/>
        </w:rPr>
      </w:pPr>
      <w:r>
        <w:rPr>
          <w:rFonts w:hint="eastAsia" w:ascii="仿宋_GB2312" w:hAnsi="仿宋_GB2312" w:eastAsia="仿宋_GB2312" w:cs="仿宋_GB2312"/>
        </w:rPr>
        <w:t>7.2 竞投文件按规定加盖的竞投人公章必须为企业法人公章，且与竞投人名称一致，不能以其它业务章或附属机构章代替。需签名之处必须由当事人亲笔签署或当事人签字章。</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7.3 竞投人应对竞投内容提供完整的、详细的、清晰的方案说明，如竞投人对指定的要求建议做任何改动，应在竞投文件中清楚地注明；竞投人对</w:t>
      </w:r>
      <w:r>
        <w:rPr>
          <w:rFonts w:hint="eastAsia" w:ascii="仿宋_GB2312" w:hAnsi="仿宋_GB2312" w:eastAsia="仿宋_GB2312" w:cs="仿宋_GB2312"/>
        </w:rPr>
        <w:t>竞选</w:t>
      </w:r>
      <w:r>
        <w:rPr>
          <w:rFonts w:hint="eastAsia" w:ascii="仿宋_GB2312" w:hAnsi="仿宋_GB2312" w:eastAsia="仿宋_GB2312" w:cs="仿宋_GB2312"/>
          <w:szCs w:val="21"/>
        </w:rPr>
        <w:t>文件的对应要求应当给予唯一的实质性响应，否则将视为不响应。技术参数要求中标注有具体数值要求的，竞投人必须在服务响应文件中标注实际数值，不标注数值者视为不响应。</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7.4 竞投人应对项目可能涉及的相关知识产权归属进行标注、说明或提交官方证明文件，如技术专利、创新方法论工具等；同时应对因本项目所产生的推广创意设计图文等知识产权归属进行说明，第一归属方为广州市城壹房地产顾问有限公司。</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7.5参与本采购项目的竞投人须接受及保证，采购人在中华人民共和国境内使用</w:t>
      </w:r>
      <w:r>
        <w:rPr>
          <w:rFonts w:hint="eastAsia" w:ascii="仿宋_GB2312" w:hAnsi="仿宋_GB2312" w:eastAsia="仿宋_GB2312" w:cs="仿宋_GB2312"/>
        </w:rPr>
        <w:t>竞选</w:t>
      </w:r>
      <w:r>
        <w:rPr>
          <w:rFonts w:hint="eastAsia" w:ascii="仿宋_GB2312" w:hAnsi="仿宋_GB2312" w:eastAsia="仿宋_GB2312" w:cs="仿宋_GB2312"/>
          <w:szCs w:val="21"/>
        </w:rPr>
        <w:t>服务时（含竞投人提供的设计、软件、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采购人使用，其竞投报价中必须包括合法获取该知识产权的一切相关费用，如竞投人没有单独列出的，视为已包含在相应报价中。一旦使用竞投人提供的服务（含竞投人提供服务所需的设备、货物、产品、资料、技术或其任何一部分），采购人不再承担第三方提出侵犯其专利权、商标权或其它知识产权而引起的法律纠纷。</w:t>
      </w: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8. 竞投文件交付要求</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8.1 全部竞投文件应一式五份密封提交，其中，正本（纸质）一份，副本（纸质）四份，在文件封面右上角显着注明“正本”和“副本”字样，并加盖公章。副本内容可采用正本的复印件。一旦正本与副本不符，以正本为准。竞投文件须由竞投人的合法授权代表正式签署，任何涂改或修正（如有）必须由原签署人签字确认。</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8.2 所有竞投文件及样板（如有）应在竞投截止时间前送达竞投文件递交地点（时间及地点以第一章竞投邀请为准），凭法人代表证明书及授权人委托书及委托人身份证（仅限于法人不出席的情况下）原件，并当面交予采购方，采购方将拒绝以下情况之一的竞投文件：</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 迟于竞投截止时间递交的；</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（2） 以电报、电话、电传、传真或邮递形式递交的；</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（3） 密封不严、册装不整的；</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8.3 所有竞投文件必须封入密封完好的信封或包装，封口加盖竞投单位公章。并在信封或包装的封面上写明：</w:t>
      </w: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r>
        <w:rPr>
          <w:rFonts w:ascii="Calibri" w:hAnsi="Calibri"/>
          <w:szCs w:val="21"/>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43815</wp:posOffset>
                </wp:positionV>
                <wp:extent cx="3653155" cy="1441450"/>
                <wp:effectExtent l="4445" t="4445" r="19050" b="2095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653155" cy="1441450"/>
                        </a:xfrm>
                        <a:prstGeom prst="rect">
                          <a:avLst/>
                        </a:prstGeom>
                        <a:solidFill>
                          <a:srgbClr val="FFFFFF"/>
                        </a:solidFill>
                        <a:ln w="9525">
                          <a:solidFill>
                            <a:srgbClr val="000000"/>
                          </a:solidFill>
                          <a:miter lim="800000"/>
                        </a:ln>
                      </wps:spPr>
                      <wps:txbx>
                        <w:txbxContent>
                          <w:p>
                            <w:pPr>
                              <w:rPr>
                                <w:rFonts w:ascii="微软雅黑" w:hAnsi="微软雅黑" w:eastAsia="微软雅黑" w:cs="仿宋_GB2312"/>
                                <w:sz w:val="18"/>
                                <w:szCs w:val="18"/>
                              </w:rPr>
                            </w:pPr>
                            <w:r>
                              <w:rPr>
                                <w:rFonts w:hint="eastAsia" w:ascii="微软雅黑" w:hAnsi="微软雅黑" w:eastAsia="微软雅黑" w:cs="仿宋_GB2312"/>
                                <w:sz w:val="18"/>
                                <w:szCs w:val="18"/>
                              </w:rPr>
                              <w:t>收件人名称：广州市城壹房地产顾问有限公司</w:t>
                            </w:r>
                          </w:p>
                          <w:p>
                            <w:pPr>
                              <w:rPr>
                                <w:rFonts w:ascii="微软雅黑" w:hAnsi="微软雅黑" w:eastAsia="微软雅黑" w:cs="仿宋_GB2312"/>
                                <w:sz w:val="18"/>
                                <w:szCs w:val="18"/>
                              </w:rPr>
                            </w:pPr>
                            <w:r>
                              <w:rPr>
                                <w:rFonts w:hint="eastAsia" w:ascii="微软雅黑" w:hAnsi="微软雅黑" w:eastAsia="微软雅黑" w:cs="仿宋_GB2312"/>
                                <w:sz w:val="18"/>
                                <w:szCs w:val="18"/>
                              </w:rPr>
                              <w:t>项目名称：城隽雅苑北区公交车身广告服务项目</w:t>
                            </w:r>
                          </w:p>
                          <w:p>
                            <w:pPr>
                              <w:rPr>
                                <w:rFonts w:ascii="微软雅黑" w:hAnsi="微软雅黑" w:eastAsia="微软雅黑" w:cs="仿宋_GB2312"/>
                                <w:sz w:val="18"/>
                                <w:szCs w:val="18"/>
                              </w:rPr>
                            </w:pPr>
                            <w:r>
                              <w:rPr>
                                <w:rFonts w:hint="eastAsia" w:ascii="微软雅黑" w:hAnsi="微软雅黑" w:eastAsia="微软雅黑" w:cs="仿宋_GB2312"/>
                                <w:sz w:val="18"/>
                                <w:szCs w:val="18"/>
                              </w:rPr>
                              <w:t>包装内容：竞投文件正本/副本/唱标信封</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竞投人名称：</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竞投人地址：</w:t>
                            </w:r>
                          </w:p>
                          <w:p>
                            <w:pPr>
                              <w:rPr>
                                <w:rFonts w:ascii="微软雅黑" w:hAnsi="微软雅黑" w:eastAsia="微软雅黑" w:cs="仿宋_GB2312"/>
                                <w:sz w:val="18"/>
                                <w:szCs w:val="18"/>
                              </w:rPr>
                            </w:pPr>
                            <w:r>
                              <w:rPr>
                                <w:rFonts w:hint="eastAsia" w:ascii="微软雅黑" w:hAnsi="微软雅黑" w:eastAsia="微软雅黑" w:cs="仿宋_GB2312"/>
                                <w:sz w:val="18"/>
                                <w:szCs w:val="18"/>
                              </w:rPr>
                              <w:t>联 系 人：                    联系电话：</w:t>
                            </w:r>
                          </w:p>
                          <w:p>
                            <w:pPr>
                              <w:jc w:val="center"/>
                              <w:rPr>
                                <w:rFonts w:ascii="微软雅黑" w:hAnsi="微软雅黑" w:eastAsia="微软雅黑" w:cs="仿宋_GB2312"/>
                                <w:b/>
                                <w:sz w:val="18"/>
                                <w:szCs w:val="18"/>
                              </w:rPr>
                            </w:pPr>
                            <w:r>
                              <w:rPr>
                                <w:rFonts w:hint="eastAsia" w:ascii="微软雅黑" w:hAnsi="微软雅黑" w:eastAsia="微软雅黑" w:cs="仿宋_GB2312"/>
                                <w:b/>
                                <w:sz w:val="18"/>
                                <w:szCs w:val="18"/>
                              </w:rPr>
                              <w:t>在规定的开标时间前不得启封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pt;margin-top:3.45pt;height:113.5pt;width:287.65pt;z-index:251659264;mso-width-relative:page;mso-height-relative:page;" fillcolor="#FFFFFF" filled="t" stroked="t" coordsize="21600,21600" o:gfxdata="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mswWJ1wAAAAcBAAAPAAAAAAAAAAEAIAAAACIAAABkcnMvZG93bnJldi54bWxQSwECFAAUAAAA&#10;CACHTuJAdc80qigCAAA6BAAADgAAAAAAAAABACAAAAAmAQAAZHJzL2Uyb0RvYy54bWxQSwUGAAAA&#10;AAYABgBZAQAAwAUAAAAA&#10;">
                <v:fill on="t" focussize="0,0"/>
                <v:stroke color="#000000" miterlimit="8" joinstyle="miter"/>
                <v:imagedata o:title=""/>
                <o:lock v:ext="edit" aspectratio="f"/>
                <v:textbox>
                  <w:txbxContent>
                    <w:p>
                      <w:pPr>
                        <w:rPr>
                          <w:rFonts w:ascii="微软雅黑" w:hAnsi="微软雅黑" w:eastAsia="微软雅黑" w:cs="仿宋_GB2312"/>
                          <w:sz w:val="18"/>
                          <w:szCs w:val="18"/>
                        </w:rPr>
                      </w:pPr>
                      <w:r>
                        <w:rPr>
                          <w:rFonts w:hint="eastAsia" w:ascii="微软雅黑" w:hAnsi="微软雅黑" w:eastAsia="微软雅黑" w:cs="仿宋_GB2312"/>
                          <w:sz w:val="18"/>
                          <w:szCs w:val="18"/>
                        </w:rPr>
                        <w:t>收件人名称：广州市城壹房地产顾问有限公司</w:t>
                      </w:r>
                    </w:p>
                    <w:p>
                      <w:pPr>
                        <w:rPr>
                          <w:rFonts w:ascii="微软雅黑" w:hAnsi="微软雅黑" w:eastAsia="微软雅黑" w:cs="仿宋_GB2312"/>
                          <w:sz w:val="18"/>
                          <w:szCs w:val="18"/>
                        </w:rPr>
                      </w:pPr>
                      <w:r>
                        <w:rPr>
                          <w:rFonts w:hint="eastAsia" w:ascii="微软雅黑" w:hAnsi="微软雅黑" w:eastAsia="微软雅黑" w:cs="仿宋_GB2312"/>
                          <w:sz w:val="18"/>
                          <w:szCs w:val="18"/>
                        </w:rPr>
                        <w:t>项目名称：城隽雅苑北区公交车身广告服务项目</w:t>
                      </w:r>
                    </w:p>
                    <w:p>
                      <w:pPr>
                        <w:rPr>
                          <w:rFonts w:ascii="微软雅黑" w:hAnsi="微软雅黑" w:eastAsia="微软雅黑" w:cs="仿宋_GB2312"/>
                          <w:sz w:val="18"/>
                          <w:szCs w:val="18"/>
                        </w:rPr>
                      </w:pPr>
                      <w:r>
                        <w:rPr>
                          <w:rFonts w:hint="eastAsia" w:ascii="微软雅黑" w:hAnsi="微软雅黑" w:eastAsia="微软雅黑" w:cs="仿宋_GB2312"/>
                          <w:sz w:val="18"/>
                          <w:szCs w:val="18"/>
                        </w:rPr>
                        <w:t>包装内容：竞投文件正本/副本/唱标信封</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竞投人名称：</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竞投人地址：</w:t>
                      </w:r>
                    </w:p>
                    <w:p>
                      <w:pPr>
                        <w:rPr>
                          <w:rFonts w:ascii="微软雅黑" w:hAnsi="微软雅黑" w:eastAsia="微软雅黑" w:cs="仿宋_GB2312"/>
                          <w:sz w:val="18"/>
                          <w:szCs w:val="18"/>
                        </w:rPr>
                      </w:pPr>
                      <w:r>
                        <w:rPr>
                          <w:rFonts w:hint="eastAsia" w:ascii="微软雅黑" w:hAnsi="微软雅黑" w:eastAsia="微软雅黑" w:cs="仿宋_GB2312"/>
                          <w:sz w:val="18"/>
                          <w:szCs w:val="18"/>
                        </w:rPr>
                        <w:t>联 系 人：                    联系电话：</w:t>
                      </w:r>
                    </w:p>
                    <w:p>
                      <w:pPr>
                        <w:jc w:val="center"/>
                        <w:rPr>
                          <w:rFonts w:ascii="微软雅黑" w:hAnsi="微软雅黑" w:eastAsia="微软雅黑" w:cs="仿宋_GB2312"/>
                          <w:b/>
                          <w:sz w:val="18"/>
                          <w:szCs w:val="18"/>
                        </w:rPr>
                      </w:pPr>
                      <w:r>
                        <w:rPr>
                          <w:rFonts w:hint="eastAsia" w:ascii="微软雅黑" w:hAnsi="微软雅黑" w:eastAsia="微软雅黑" w:cs="仿宋_GB2312"/>
                          <w:b/>
                          <w:sz w:val="18"/>
                          <w:szCs w:val="18"/>
                        </w:rPr>
                        <w:t>在规定的开标时间前不得启封</w:t>
                      </w:r>
                    </w:p>
                  </w:txbxContent>
                </v:textbox>
              </v:shape>
            </w:pict>
          </mc:Fallback>
        </mc:AlternateContent>
      </w: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numPr>
          <w:ilvl w:val="0"/>
          <w:numId w:val="2"/>
        </w:num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采购方对不可抗力事件造成的竞投文件的损坏、丢失不承担任何责任。</w:t>
      </w:r>
    </w:p>
    <w:p>
      <w:pPr>
        <w:numPr>
          <w:ilvl w:val="0"/>
          <w:numId w:val="2"/>
        </w:num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采购方不退还竞投人的竞投文件及递交的其它资料。</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8.4竞投文件递交</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（1）递交地点：广州市越秀区广电城投686产业园22楼。</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（2）竞投文件递交受理时间于2023年</w:t>
      </w:r>
      <w:r>
        <w:rPr>
          <w:rFonts w:hint="eastAsia" w:ascii="仿宋_GB2312" w:hAnsi="仿宋_GB2312" w:eastAsia="仿宋_GB2312" w:cs="仿宋_GB2312"/>
          <w:szCs w:val="21"/>
          <w:lang w:val="en-US" w:eastAsia="zh-CN"/>
        </w:rPr>
        <w:t>6</w:t>
      </w:r>
      <w:r>
        <w:rPr>
          <w:rFonts w:hint="eastAsia" w:ascii="仿宋_GB2312" w:hAnsi="仿宋_GB2312" w:eastAsia="仿宋_GB2312" w:cs="仿宋_GB2312"/>
          <w:szCs w:val="21"/>
        </w:rPr>
        <w:t xml:space="preserve">月 </w:t>
      </w:r>
      <w:bookmarkStart w:id="16" w:name="_GoBack"/>
      <w:bookmarkEnd w:id="16"/>
      <w:r>
        <w:rPr>
          <w:rFonts w:hint="eastAsia" w:ascii="仿宋_GB2312" w:hAnsi="仿宋_GB2312" w:eastAsia="仿宋_GB2312" w:cs="仿宋_GB2312"/>
          <w:szCs w:val="21"/>
          <w:lang w:val="en-US" w:eastAsia="zh-CN"/>
        </w:rPr>
        <w:t>27</w:t>
      </w:r>
      <w:r>
        <w:rPr>
          <w:rFonts w:hint="eastAsia" w:ascii="仿宋_GB2312" w:hAnsi="仿宋_GB2312" w:eastAsia="仿宋_GB2312" w:cs="仿宋_GB2312"/>
          <w:szCs w:val="21"/>
        </w:rPr>
        <w:t>日上午10：00截止；逾期不予受理。</w:t>
      </w:r>
    </w:p>
    <w:p/>
    <w:p/>
    <w:p/>
    <w:p>
      <w:bookmarkStart w:id="10" w:name="_Toc427828529"/>
      <w:bookmarkStart w:id="11" w:name="_Toc428434793"/>
      <w:r>
        <w:rPr>
          <w:rFonts w:ascii="仿宋" w:hAnsi="仿宋" w:eastAsia="仿宋" w:cs="仿宋"/>
          <w:sz w:val="32"/>
          <w:szCs w:val="32"/>
        </w:rPr>
        <w:br w:type="page"/>
      </w:r>
      <w:bookmarkEnd w:id="10"/>
      <w:bookmarkEnd w:id="11"/>
      <w:r>
        <w:rPr>
          <w:rFonts w:hint="eastAsia" w:ascii="仿宋" w:hAnsi="仿宋" w:eastAsia="仿宋" w:cs="仿宋"/>
          <w:sz w:val="32"/>
          <w:szCs w:val="32"/>
        </w:rPr>
        <w:t>三</w:t>
      </w:r>
      <w:r>
        <w:rPr>
          <w:rFonts w:hint="eastAsia" w:ascii="仿宋_GB2312" w:eastAsia="仿宋_GB2312"/>
          <w:b/>
          <w:sz w:val="32"/>
          <w:szCs w:val="32"/>
        </w:rPr>
        <w:t>、评审/选定方法及标准</w:t>
      </w:r>
    </w:p>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871"/>
        <w:gridCol w:w="66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ind w:right="-358"/>
              <w:jc w:val="left"/>
              <w:rPr>
                <w:rFonts w:ascii="仿宋_GB2312" w:hAnsi="宋体" w:eastAsia="仿宋_GB2312"/>
                <w:bCs/>
                <w:szCs w:val="21"/>
              </w:rPr>
            </w:pPr>
            <w:r>
              <w:rPr>
                <w:rFonts w:hint="eastAsia" w:ascii="仿宋_GB2312" w:hAnsi="宋体" w:eastAsia="仿宋_GB2312"/>
                <w:bCs/>
                <w:szCs w:val="21"/>
              </w:rPr>
              <w:t>项号</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bCs/>
                <w:szCs w:val="21"/>
              </w:rPr>
            </w:pPr>
            <w:r>
              <w:rPr>
                <w:rFonts w:hint="eastAsia" w:ascii="仿宋_GB2312" w:hAnsi="宋体" w:eastAsia="仿宋_GB2312"/>
                <w:bCs/>
                <w:szCs w:val="21"/>
              </w:rPr>
              <w:t>内    容</w:t>
            </w:r>
          </w:p>
        </w:tc>
        <w:tc>
          <w:tcPr>
            <w:tcW w:w="6624"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00" w:lineRule="exact"/>
              <w:jc w:val="center"/>
              <w:rPr>
                <w:rFonts w:ascii="仿宋_GB2312" w:hAnsi="宋体" w:eastAsia="仿宋_GB2312"/>
                <w:bCs/>
                <w:szCs w:val="21"/>
              </w:rPr>
            </w:pPr>
            <w:r>
              <w:rPr>
                <w:rFonts w:hint="eastAsia" w:ascii="仿宋_GB2312" w:hAnsi="宋体" w:eastAsia="仿宋_GB2312"/>
                <w:bCs/>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1</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评审原则</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szCs w:val="21"/>
              </w:rPr>
            </w:pPr>
            <w:r>
              <w:rPr>
                <w:rFonts w:hint="eastAsia" w:ascii="仿宋_GB2312" w:hAnsi="宋体" w:eastAsia="仿宋_GB2312"/>
                <w:szCs w:val="21"/>
              </w:rPr>
              <w:t>按有关法律、法律及相关规定组建评审小组负责本次采购项目具体评审工作，本着公平、公正、科学、择优的原则，按照采购文件的要求/标准推荐评审结果。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2</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资格/符合性审查</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szCs w:val="21"/>
              </w:rPr>
            </w:pPr>
            <w:r>
              <w:rPr>
                <w:rFonts w:hint="eastAsia" w:ascii="仿宋_GB2312" w:hAnsi="宋体" w:eastAsia="仿宋_GB2312"/>
                <w:szCs w:val="21"/>
              </w:rPr>
              <w:t>1. 评审小组将根据采购文件的规定，对各竞投文件进行资格及符合性审查。（具体审查标准见后附表）</w:t>
            </w:r>
          </w:p>
          <w:p>
            <w:pPr>
              <w:widowControl/>
              <w:spacing w:line="400" w:lineRule="exact"/>
              <w:rPr>
                <w:rFonts w:ascii="仿宋_GB2312" w:hAnsi="宋体" w:eastAsia="仿宋_GB2312"/>
                <w:szCs w:val="21"/>
              </w:rPr>
            </w:pPr>
            <w:r>
              <w:rPr>
                <w:rFonts w:hint="eastAsia" w:ascii="仿宋_GB2312" w:hAnsi="宋体" w:eastAsia="仿宋_GB2312"/>
                <w:szCs w:val="21"/>
              </w:rPr>
              <w:t>2. 符合性审查结论意见采取少数服从多数原则，即超过半数评审人员的结论为“通过”则该竞投人通过资格及符合性审查，否则不通过。</w:t>
            </w:r>
          </w:p>
          <w:p>
            <w:pPr>
              <w:widowControl/>
              <w:spacing w:line="400" w:lineRule="exact"/>
              <w:rPr>
                <w:rFonts w:ascii="仿宋_GB2312" w:hAnsi="宋体" w:eastAsia="仿宋_GB2312"/>
                <w:szCs w:val="21"/>
              </w:rPr>
            </w:pPr>
            <w:r>
              <w:rPr>
                <w:rFonts w:hint="eastAsia" w:ascii="仿宋_GB2312" w:hAnsi="宋体" w:eastAsia="仿宋_GB2312"/>
                <w:szCs w:val="21"/>
              </w:rPr>
              <w:t>3. 不能通过资格及符合性审查的竞投文件，不得参与综合评审打分。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3</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评审标准</w:t>
            </w:r>
          </w:p>
          <w:p>
            <w:pPr>
              <w:spacing w:line="400" w:lineRule="exact"/>
              <w:jc w:val="center"/>
              <w:rPr>
                <w:rFonts w:ascii="仿宋_GB2312" w:hAnsi="宋体" w:eastAsia="仿宋_GB2312"/>
                <w:szCs w:val="21"/>
              </w:rPr>
            </w:pPr>
            <w:r>
              <w:rPr>
                <w:rFonts w:hint="eastAsia" w:ascii="仿宋_GB2312" w:hAnsi="宋体" w:eastAsia="仿宋_GB2312"/>
                <w:szCs w:val="21"/>
              </w:rPr>
              <w:t>及定标授标</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szCs w:val="21"/>
              </w:rPr>
            </w:pPr>
            <w:r>
              <w:rPr>
                <w:rFonts w:hint="eastAsia" w:ascii="仿宋_GB2312" w:hAnsi="宋体" w:eastAsia="仿宋_GB2312"/>
                <w:szCs w:val="21"/>
              </w:rPr>
              <w:t>1.评标小组评委由广州市城壹房地产顾问有限公司相关人员组成，由评委对已通过符合性检查竞投人的竞投文件，逐项列出竞投文件的全部竞投偏差。</w:t>
            </w:r>
          </w:p>
          <w:p>
            <w:pPr>
              <w:widowControl/>
              <w:spacing w:line="400" w:lineRule="exact"/>
              <w:rPr>
                <w:rFonts w:ascii="仿宋_GB2312" w:hAnsi="宋体" w:eastAsia="仿宋_GB2312" w:cs="宋体"/>
                <w:kern w:val="0"/>
                <w:szCs w:val="21"/>
              </w:rPr>
            </w:pPr>
            <w:r>
              <w:rPr>
                <w:rFonts w:hint="eastAsia" w:ascii="仿宋_GB2312" w:hAnsi="宋体" w:eastAsia="仿宋_GB2312"/>
                <w:szCs w:val="21"/>
              </w:rPr>
              <w:t>2.</w:t>
            </w:r>
            <w:r>
              <w:rPr>
                <w:rFonts w:hint="eastAsia" w:ascii="仿宋_GB2312" w:hAnsi="宋体" w:eastAsia="仿宋_GB2312" w:cs="宋体"/>
                <w:kern w:val="0"/>
                <w:szCs w:val="21"/>
              </w:rPr>
              <w:t>商务评分：</w:t>
            </w:r>
          </w:p>
          <w:p>
            <w:pPr>
              <w:widowControl/>
              <w:spacing w:line="400" w:lineRule="exact"/>
              <w:rPr>
                <w:rFonts w:ascii="仿宋_GB2312" w:hAnsi="仿宋_GB2312" w:eastAsia="仿宋_GB2312" w:cs="仿宋_GB2312"/>
                <w:szCs w:val="21"/>
              </w:rPr>
            </w:pPr>
            <w:r>
              <w:rPr>
                <w:rFonts w:hint="eastAsia" w:ascii="仿宋_GB2312" w:hAnsi="宋体" w:eastAsia="仿宋_GB2312" w:cs="宋体"/>
                <w:kern w:val="0"/>
                <w:szCs w:val="21"/>
              </w:rPr>
              <w:t>各评审分项得分=</w:t>
            </w:r>
            <w:r>
              <w:rPr>
                <w:rFonts w:hint="eastAsia" w:ascii="仿宋_GB2312" w:hAnsi="宋体" w:eastAsia="仿宋_GB2312"/>
                <w:szCs w:val="21"/>
              </w:rPr>
              <w:t>各评委评分总和</w:t>
            </w:r>
            <w:r>
              <w:rPr>
                <w:rFonts w:hint="eastAsia" w:ascii="Arial" w:hAnsi="Arial" w:eastAsia="仿宋_GB2312" w:cs="Arial"/>
                <w:szCs w:val="21"/>
              </w:rPr>
              <w:t>÷</w:t>
            </w:r>
            <w:r>
              <w:rPr>
                <w:rFonts w:hint="eastAsia" w:ascii="仿宋_GB2312" w:hAnsi="仿宋_GB2312" w:eastAsia="仿宋_GB2312" w:cs="仿宋_GB2312"/>
                <w:szCs w:val="21"/>
              </w:rPr>
              <w:t>评委人数</w:t>
            </w:r>
          </w:p>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3.项目方案评分：</w:t>
            </w:r>
          </w:p>
          <w:p>
            <w:pPr>
              <w:widowControl/>
              <w:spacing w:line="400" w:lineRule="exact"/>
              <w:rPr>
                <w:rFonts w:ascii="仿宋_GB2312" w:hAnsi="仿宋_GB2312" w:eastAsia="仿宋_GB2312" w:cs="仿宋_GB2312"/>
                <w:szCs w:val="21"/>
              </w:rPr>
            </w:pPr>
            <w:r>
              <w:rPr>
                <w:rFonts w:hint="eastAsia" w:ascii="仿宋_GB2312" w:hAnsi="宋体" w:eastAsia="仿宋_GB2312" w:cs="宋体"/>
                <w:kern w:val="0"/>
                <w:szCs w:val="21"/>
              </w:rPr>
              <w:t>各评审分项得分=</w:t>
            </w:r>
            <w:r>
              <w:rPr>
                <w:rFonts w:hint="eastAsia" w:ascii="仿宋_GB2312" w:hAnsi="宋体" w:eastAsia="仿宋_GB2312"/>
                <w:szCs w:val="21"/>
              </w:rPr>
              <w:t>各评委评分总和</w:t>
            </w:r>
            <w:r>
              <w:rPr>
                <w:rFonts w:hint="eastAsia" w:ascii="Arial" w:hAnsi="Arial" w:eastAsia="仿宋_GB2312" w:cs="Arial"/>
                <w:szCs w:val="21"/>
              </w:rPr>
              <w:t>÷</w:t>
            </w:r>
            <w:r>
              <w:rPr>
                <w:rFonts w:hint="eastAsia" w:ascii="仿宋_GB2312" w:hAnsi="仿宋_GB2312" w:eastAsia="仿宋_GB2312" w:cs="仿宋_GB2312"/>
                <w:szCs w:val="21"/>
              </w:rPr>
              <w:t>评委人数</w:t>
            </w:r>
          </w:p>
          <w:p>
            <w:pPr>
              <w:widowControl/>
              <w:spacing w:line="400" w:lineRule="exact"/>
              <w:jc w:val="left"/>
              <w:rPr>
                <w:rFonts w:ascii="仿宋_GB2312" w:hAnsi="仿宋_GB2312" w:eastAsia="仿宋_GB2312" w:cs="仿宋_GB2312"/>
                <w:szCs w:val="21"/>
              </w:rPr>
            </w:pPr>
            <w:r>
              <w:rPr>
                <w:rFonts w:hint="eastAsia" w:ascii="仿宋_GB2312" w:hAnsi="仿宋_GB2312" w:eastAsia="仿宋_GB2312" w:cs="仿宋_GB2312"/>
                <w:szCs w:val="21"/>
              </w:rPr>
              <w:t>4.经济评分：</w:t>
            </w:r>
          </w:p>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以通过本项目资格及符合性检查且若位于[项目限价*80%，项目限价]区间的竞投报价（不含税，下同）计算算术平均值，该算术平均值为评标基准价。竞投报价中等于或最接近于评标基准价的报价单位得50分，其余报价单位的报价每高于或低于评标基准价5%，扣2分，未达到5%按5%扣取，得出经济分，计算过程中数据均精确到小数点后两位。凡不在本项目设置的合理报价区间范围内的报价单位得0分</w:t>
            </w:r>
          </w:p>
          <w:p>
            <w:pPr>
              <w:widowControl/>
              <w:spacing w:line="400" w:lineRule="exact"/>
              <w:rPr>
                <w:rFonts w:ascii="仿宋_GB2312" w:hAnsi="宋体" w:eastAsia="仿宋_GB2312"/>
                <w:szCs w:val="21"/>
              </w:rPr>
            </w:pPr>
            <w:r>
              <w:rPr>
                <w:rFonts w:hint="eastAsia" w:ascii="仿宋_GB2312" w:hAnsi="宋体" w:eastAsia="仿宋_GB2312"/>
                <w:szCs w:val="21"/>
              </w:rPr>
              <w:t>5.综合得分：</w:t>
            </w:r>
          </w:p>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商务评分+项目方案评分+经济评分=综合得分。评委根据竞投人综合得分高低排定名次。</w:t>
            </w:r>
          </w:p>
          <w:p>
            <w:pPr>
              <w:widowControl/>
              <w:spacing w:line="400" w:lineRule="exact"/>
              <w:rPr>
                <w:rFonts w:ascii="仿宋_GB2312" w:hAnsi="宋体" w:eastAsia="仿宋_GB2312"/>
                <w:szCs w:val="21"/>
              </w:rPr>
            </w:pPr>
            <w:r>
              <w:rPr>
                <w:rFonts w:hint="eastAsia" w:ascii="仿宋_GB2312" w:hAnsi="宋体" w:eastAsia="仿宋_GB2312"/>
                <w:szCs w:val="21"/>
              </w:rPr>
              <w:t>6.评分按四舍五入原则精确到小数点后两位。</w:t>
            </w:r>
            <w:r>
              <w:rPr>
                <w:rFonts w:hint="eastAsia" w:ascii="仿宋_GB2312" w:hAnsi="宋体" w:eastAsia="仿宋_GB2312" w:cs="宋体"/>
                <w:kern w:val="0"/>
                <w:szCs w:val="21"/>
              </w:rPr>
              <w:t>综合得分排名第一的竞投人推荐为第一中标候选人。第一中标候选人放弃中标、或因不可抗力提出不能履行合同的，采购方可以确定排名次高的第二中标候选人为中标承判商。</w:t>
            </w:r>
          </w:p>
          <w:p>
            <w:pPr>
              <w:widowControl/>
              <w:spacing w:line="400" w:lineRule="exact"/>
              <w:rPr>
                <w:rFonts w:ascii="仿宋_GB2312" w:hAnsi="宋体" w:eastAsia="仿宋_GB2312"/>
                <w:szCs w:val="21"/>
              </w:rPr>
            </w:pPr>
            <w:r>
              <w:rPr>
                <w:rFonts w:hint="eastAsia" w:ascii="仿宋_GB2312" w:hAnsi="宋体" w:eastAsia="仿宋_GB2312"/>
                <w:szCs w:val="21"/>
              </w:rPr>
              <w:t>7.综合评分相同的，按不含税报价由低到高顺序排列；综合评分相同，且不含税报价相同的，按竞投报价由低到高顺序排列；综合评分相同，且不含税报价及按竞投报价均相同的，按</w:t>
            </w:r>
            <w:r>
              <w:rPr>
                <w:rFonts w:hint="eastAsia" w:ascii="仿宋_GB2312" w:hAnsi="宋体" w:eastAsia="仿宋_GB2312" w:cs="宋体"/>
                <w:kern w:val="0"/>
                <w:szCs w:val="21"/>
              </w:rPr>
              <w:t>商务评分情况</w:t>
            </w:r>
            <w:r>
              <w:rPr>
                <w:rFonts w:hint="eastAsia" w:ascii="仿宋_GB2312" w:hAnsi="宋体" w:eastAsia="仿宋_GB2312"/>
                <w:szCs w:val="21"/>
              </w:rPr>
              <w:t>评分由高到低顺序排列。综合评分相同，且不含税报价、竞投报价和商务评分均相同的，名次由评审人员会抽签决定。</w:t>
            </w:r>
          </w:p>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8.</w:t>
            </w:r>
            <w:r>
              <w:rPr>
                <w:rFonts w:hint="eastAsia" w:ascii="Calibri" w:hAnsi="Calibri"/>
              </w:rPr>
              <w:t xml:space="preserve"> </w:t>
            </w:r>
            <w:r>
              <w:rPr>
                <w:rFonts w:hint="eastAsia" w:ascii="仿宋_GB2312" w:hAnsi="宋体" w:eastAsia="仿宋_GB2312" w:cs="宋体"/>
                <w:kern w:val="0"/>
                <w:szCs w:val="21"/>
              </w:rPr>
              <w:t>评标委员会提出评标书面报告和推荐候选中标意见报采购方确认，确认后由采购方与预中标承判商进行最终澄清及对竞投人的资格和履约能力进行再次审查，形成最终合同的基础文件。如在最终澄清过程中，发现预中标承判商存在重大问题造成其履约能力不能满足要求的，可以取消其中标资格。最终澄清完成后，由竞投公司根据采购方确认的结果发出中标通知书。中标承判商应按竞投文件规定向采购方提交相应文件，并在规定时间内与采购方签订合同。</w:t>
            </w:r>
          </w:p>
        </w:tc>
      </w:tr>
    </w:tbl>
    <w:p>
      <w:pPr>
        <w:rPr>
          <w:rFonts w:ascii="仿宋" w:hAnsi="仿宋" w:eastAsia="仿宋"/>
        </w:rPr>
      </w:pPr>
    </w:p>
    <w:p>
      <w:pPr>
        <w:rPr>
          <w:rFonts w:ascii="仿宋" w:hAnsi="仿宋" w:eastAsia="仿宋"/>
        </w:rPr>
      </w:pPr>
    </w:p>
    <w:bookmarkEnd w:id="5"/>
    <w:bookmarkEnd w:id="6"/>
    <w:bookmarkEnd w:id="7"/>
    <w:bookmarkEnd w:id="8"/>
    <w:bookmarkEnd w:id="9"/>
    <w:p>
      <w:pPr>
        <w:keepNext/>
        <w:keepLines/>
        <w:spacing w:before="260" w:after="260" w:line="400" w:lineRule="exact"/>
        <w:outlineLvl w:val="1"/>
        <w:rPr>
          <w:rFonts w:ascii="宋体" w:hAnsi="宋体" w:eastAsia="黑体" w:cs="宋体"/>
          <w:sz w:val="24"/>
        </w:rPr>
      </w:pPr>
      <w:bookmarkStart w:id="12" w:name="_Toc334797765"/>
      <w:r>
        <w:rPr>
          <w:rFonts w:ascii="仿宋" w:hAnsi="仿宋" w:eastAsia="仿宋"/>
          <w:sz w:val="24"/>
        </w:rPr>
        <w:br w:type="page"/>
      </w:r>
      <w:bookmarkEnd w:id="12"/>
      <w:bookmarkStart w:id="13" w:name="OLE_LINK3"/>
      <w:bookmarkStart w:id="14" w:name="OLE_LINK2"/>
      <w:r>
        <w:rPr>
          <w:rFonts w:hint="eastAsia" w:ascii="宋体" w:hAnsi="宋体" w:eastAsia="黑体" w:cs="宋体"/>
          <w:sz w:val="24"/>
        </w:rPr>
        <w:t>本评标文件包括以下评标过程中所需文件附表：</w:t>
      </w:r>
    </w:p>
    <w:p>
      <w:pPr>
        <w:keepNext/>
        <w:keepLines/>
        <w:spacing w:before="260" w:after="260" w:line="400" w:lineRule="exact"/>
        <w:jc w:val="center"/>
        <w:outlineLvl w:val="1"/>
        <w:rPr>
          <w:rFonts w:ascii="仿宋_GB2312" w:hAnsi="宋体" w:eastAsia="仿宋_GB2312" w:cs="宋体"/>
          <w:b/>
          <w:bCs/>
          <w:sz w:val="30"/>
          <w:szCs w:val="30"/>
        </w:rPr>
      </w:pPr>
      <w:r>
        <w:rPr>
          <w:rFonts w:hint="eastAsia" w:ascii="仿宋_GB2312" w:hAnsi="宋体" w:eastAsia="仿宋_GB2312" w:cs="宋体"/>
          <w:b/>
          <w:bCs/>
          <w:sz w:val="30"/>
          <w:szCs w:val="30"/>
        </w:rPr>
        <w:t>符合性检查表</w:t>
      </w:r>
    </w:p>
    <w:p>
      <w:pPr>
        <w:wordWrap w:val="0"/>
        <w:jc w:val="right"/>
        <w:rPr>
          <w:rFonts w:ascii="Calibri" w:hAnsi="Calibri"/>
        </w:rPr>
      </w:pPr>
      <w:r>
        <w:rPr>
          <w:rFonts w:hint="eastAsia" w:ascii="Calibri" w:hAnsi="Calibri"/>
        </w:rPr>
        <w:t xml:space="preserve">项目名称：              </w:t>
      </w:r>
    </w:p>
    <w:p>
      <w:pPr>
        <w:jc w:val="right"/>
        <w:rPr>
          <w:rFonts w:ascii="Calibri" w:hAnsi="Calibri"/>
        </w:rPr>
      </w:pPr>
      <w:r>
        <w:rPr>
          <w:rFonts w:hint="eastAsia" w:ascii="Calibri" w:hAnsi="Calibri"/>
        </w:rPr>
        <w:t>日期：    年  月   日</w:t>
      </w:r>
    </w:p>
    <w:tbl>
      <w:tblPr>
        <w:tblStyle w:val="11"/>
        <w:tblW w:w="9534" w:type="dxa"/>
        <w:tblInd w:w="-1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20"/>
        <w:gridCol w:w="1346"/>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675" w:type="dxa"/>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序号</w:t>
            </w:r>
          </w:p>
        </w:tc>
        <w:tc>
          <w:tcPr>
            <w:tcW w:w="4820" w:type="dxa"/>
            <w:vAlign w:val="center"/>
          </w:tcPr>
          <w:p>
            <w:pPr>
              <w:spacing w:line="400" w:lineRule="exact"/>
              <w:jc w:val="center"/>
              <w:rPr>
                <w:rFonts w:ascii="仿宋_GB2312" w:hAnsi="宋体" w:eastAsia="仿宋_GB2312"/>
                <w:szCs w:val="21"/>
              </w:rPr>
            </w:pPr>
            <w:r>
              <w:rPr>
                <w:rFonts w:hint="eastAsia" w:ascii="仿宋_GB2312" w:hAnsi="宋体" w:eastAsia="仿宋_GB2312"/>
                <w:bCs/>
                <w:szCs w:val="21"/>
              </w:rPr>
              <w:t>检查内容</w:t>
            </w:r>
          </w:p>
        </w:tc>
        <w:tc>
          <w:tcPr>
            <w:tcW w:w="1346" w:type="dxa"/>
            <w:vAlign w:val="center"/>
          </w:tcPr>
          <w:p>
            <w:pPr>
              <w:spacing w:line="400" w:lineRule="exact"/>
              <w:jc w:val="center"/>
              <w:rPr>
                <w:rFonts w:ascii="仿宋_GB2312" w:hAnsi="宋体" w:eastAsia="仿宋_GB2312" w:cs="宋体"/>
                <w:bCs/>
                <w:szCs w:val="21"/>
              </w:rPr>
            </w:pPr>
            <w:r>
              <w:rPr>
                <w:rFonts w:hint="eastAsia" w:ascii="仿宋_GB2312" w:hAnsi="宋体" w:eastAsia="仿宋_GB2312" w:cs="宋体"/>
                <w:bCs/>
                <w:szCs w:val="21"/>
              </w:rPr>
              <w:t>竞投人A</w:t>
            </w:r>
          </w:p>
        </w:tc>
        <w:tc>
          <w:tcPr>
            <w:tcW w:w="1417" w:type="dxa"/>
            <w:vAlign w:val="center"/>
          </w:tcPr>
          <w:p>
            <w:pPr>
              <w:spacing w:line="400" w:lineRule="exact"/>
              <w:jc w:val="center"/>
              <w:rPr>
                <w:rFonts w:ascii="仿宋_GB2312" w:hAnsi="宋体" w:eastAsia="仿宋_GB2312" w:cs="宋体"/>
                <w:bCs/>
                <w:szCs w:val="21"/>
              </w:rPr>
            </w:pPr>
            <w:r>
              <w:rPr>
                <w:rFonts w:hint="eastAsia" w:ascii="仿宋_GB2312" w:hAnsi="宋体" w:eastAsia="仿宋_GB2312" w:cs="宋体"/>
                <w:bCs/>
                <w:szCs w:val="21"/>
              </w:rPr>
              <w:t>竞投人B</w:t>
            </w:r>
          </w:p>
        </w:tc>
        <w:tc>
          <w:tcPr>
            <w:tcW w:w="1276" w:type="dxa"/>
            <w:vAlign w:val="center"/>
          </w:tcPr>
          <w:p>
            <w:pPr>
              <w:spacing w:line="400" w:lineRule="exact"/>
              <w:jc w:val="center"/>
              <w:rPr>
                <w:rFonts w:ascii="仿宋_GB2312" w:hAnsi="宋体" w:eastAsia="仿宋_GB2312" w:cs="宋体"/>
                <w:bCs/>
                <w:szCs w:val="21"/>
              </w:rPr>
            </w:pPr>
            <w:r>
              <w:rPr>
                <w:rFonts w:hint="eastAsia" w:ascii="仿宋_GB2312" w:hAnsi="宋体" w:eastAsia="仿宋_GB2312" w:cs="宋体"/>
                <w:bCs/>
                <w:szCs w:val="21"/>
              </w:rPr>
              <w:t>竞投人C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75" w:type="dxa"/>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1</w:t>
            </w:r>
          </w:p>
        </w:tc>
        <w:tc>
          <w:tcPr>
            <w:tcW w:w="4820" w:type="dxa"/>
            <w:vAlign w:val="center"/>
          </w:tcPr>
          <w:p>
            <w:pPr>
              <w:spacing w:line="400" w:lineRule="exact"/>
              <w:rPr>
                <w:rFonts w:ascii="仿宋_GB2312" w:hAnsi="宋体" w:eastAsia="仿宋_GB2312"/>
                <w:szCs w:val="21"/>
              </w:rPr>
            </w:pPr>
            <w:r>
              <w:rPr>
                <w:rFonts w:hint="eastAsia" w:ascii="仿宋_GB2312" w:hAnsi="宋体" w:eastAsia="仿宋_GB2312"/>
                <w:szCs w:val="21"/>
              </w:rPr>
              <w:t>竞投人必须是国内合法注册的法人或其他组织, 并已办理合法税务登记，具有开具相应发票能力。</w:t>
            </w:r>
          </w:p>
        </w:tc>
        <w:tc>
          <w:tcPr>
            <w:tcW w:w="1346" w:type="dxa"/>
            <w:vAlign w:val="center"/>
          </w:tcPr>
          <w:p>
            <w:pPr>
              <w:spacing w:line="400" w:lineRule="exact"/>
              <w:rPr>
                <w:rFonts w:ascii="仿宋_GB2312" w:hAnsi="宋体" w:eastAsia="仿宋_GB2312"/>
                <w:szCs w:val="21"/>
              </w:rPr>
            </w:pPr>
          </w:p>
        </w:tc>
        <w:tc>
          <w:tcPr>
            <w:tcW w:w="1417" w:type="dxa"/>
            <w:vAlign w:val="center"/>
          </w:tcPr>
          <w:p>
            <w:pPr>
              <w:spacing w:line="400" w:lineRule="exact"/>
              <w:rPr>
                <w:rFonts w:ascii="仿宋_GB2312" w:hAnsi="宋体" w:eastAsia="仿宋_GB2312"/>
                <w:szCs w:val="21"/>
              </w:rPr>
            </w:pPr>
          </w:p>
        </w:tc>
        <w:tc>
          <w:tcPr>
            <w:tcW w:w="1276" w:type="dxa"/>
            <w:vAlign w:val="center"/>
          </w:tcPr>
          <w:p>
            <w:pPr>
              <w:spacing w:line="40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75" w:type="dxa"/>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2</w:t>
            </w:r>
          </w:p>
        </w:tc>
        <w:tc>
          <w:tcPr>
            <w:tcW w:w="4820" w:type="dxa"/>
            <w:vAlign w:val="center"/>
          </w:tcPr>
          <w:p>
            <w:pPr>
              <w:spacing w:line="400" w:lineRule="exact"/>
              <w:rPr>
                <w:rFonts w:ascii="仿宋_GB2312" w:hAnsi="宋体" w:eastAsia="仿宋_GB2312"/>
                <w:szCs w:val="21"/>
              </w:rPr>
            </w:pPr>
            <w:r>
              <w:rPr>
                <w:rFonts w:hint="eastAsia" w:ascii="仿宋_GB2312" w:hAnsi="宋体" w:eastAsia="仿宋_GB2312"/>
                <w:szCs w:val="21"/>
              </w:rPr>
              <w:t>竞投人提交资格文件声明的函，声明在过往的经营活动中没有违法或者不良信誉记录。</w:t>
            </w:r>
          </w:p>
        </w:tc>
        <w:tc>
          <w:tcPr>
            <w:tcW w:w="1346" w:type="dxa"/>
            <w:vAlign w:val="center"/>
          </w:tcPr>
          <w:p>
            <w:pPr>
              <w:spacing w:line="400" w:lineRule="exact"/>
              <w:rPr>
                <w:rFonts w:ascii="仿宋_GB2312" w:hAnsi="宋体" w:eastAsia="仿宋_GB2312"/>
                <w:szCs w:val="21"/>
              </w:rPr>
            </w:pPr>
          </w:p>
        </w:tc>
        <w:tc>
          <w:tcPr>
            <w:tcW w:w="1417" w:type="dxa"/>
            <w:vAlign w:val="center"/>
          </w:tcPr>
          <w:p>
            <w:pPr>
              <w:spacing w:line="400" w:lineRule="exact"/>
              <w:rPr>
                <w:rFonts w:ascii="仿宋_GB2312" w:hAnsi="宋体" w:eastAsia="仿宋_GB2312"/>
                <w:szCs w:val="21"/>
              </w:rPr>
            </w:pPr>
          </w:p>
        </w:tc>
        <w:tc>
          <w:tcPr>
            <w:tcW w:w="1276" w:type="dxa"/>
            <w:vAlign w:val="center"/>
          </w:tcPr>
          <w:p>
            <w:pPr>
              <w:spacing w:line="40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75" w:type="dxa"/>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3</w:t>
            </w:r>
          </w:p>
        </w:tc>
        <w:tc>
          <w:tcPr>
            <w:tcW w:w="4820" w:type="dxa"/>
            <w:vAlign w:val="center"/>
          </w:tcPr>
          <w:p>
            <w:pPr>
              <w:spacing w:line="400" w:lineRule="exact"/>
              <w:rPr>
                <w:rFonts w:ascii="仿宋_GB2312" w:hAnsi="宋体"/>
                <w:szCs w:val="21"/>
              </w:rPr>
            </w:pPr>
            <w:r>
              <w:rPr>
                <w:rFonts w:hint="eastAsia" w:ascii="仿宋_GB2312" w:hAnsi="宋体" w:eastAsia="仿宋_GB2312"/>
                <w:szCs w:val="21"/>
              </w:rPr>
              <w:t>有效法人证明书及授权委托书。</w:t>
            </w:r>
          </w:p>
        </w:tc>
        <w:tc>
          <w:tcPr>
            <w:tcW w:w="1346" w:type="dxa"/>
            <w:vAlign w:val="center"/>
          </w:tcPr>
          <w:p>
            <w:pPr>
              <w:spacing w:line="400" w:lineRule="exact"/>
              <w:rPr>
                <w:rFonts w:ascii="仿宋_GB2312" w:hAnsi="宋体" w:eastAsia="仿宋_GB2312"/>
                <w:szCs w:val="21"/>
              </w:rPr>
            </w:pPr>
          </w:p>
        </w:tc>
        <w:tc>
          <w:tcPr>
            <w:tcW w:w="1417" w:type="dxa"/>
            <w:vAlign w:val="center"/>
          </w:tcPr>
          <w:p>
            <w:pPr>
              <w:spacing w:line="400" w:lineRule="exact"/>
              <w:rPr>
                <w:rFonts w:ascii="仿宋_GB2312" w:hAnsi="宋体" w:eastAsia="仿宋_GB2312"/>
                <w:szCs w:val="21"/>
              </w:rPr>
            </w:pPr>
          </w:p>
        </w:tc>
        <w:tc>
          <w:tcPr>
            <w:tcW w:w="1276" w:type="dxa"/>
            <w:vAlign w:val="center"/>
          </w:tcPr>
          <w:p>
            <w:pPr>
              <w:spacing w:line="40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495" w:type="dxa"/>
            <w:gridSpan w:val="2"/>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结论（通过/不通过）</w:t>
            </w:r>
          </w:p>
        </w:tc>
        <w:tc>
          <w:tcPr>
            <w:tcW w:w="1346" w:type="dxa"/>
            <w:vAlign w:val="center"/>
          </w:tcPr>
          <w:p>
            <w:pPr>
              <w:spacing w:line="400" w:lineRule="exact"/>
              <w:rPr>
                <w:rFonts w:ascii="仿宋_GB2312" w:hAnsi="宋体" w:eastAsia="仿宋_GB2312"/>
                <w:szCs w:val="21"/>
              </w:rPr>
            </w:pPr>
          </w:p>
        </w:tc>
        <w:tc>
          <w:tcPr>
            <w:tcW w:w="1417" w:type="dxa"/>
            <w:vAlign w:val="center"/>
          </w:tcPr>
          <w:p>
            <w:pPr>
              <w:spacing w:line="400" w:lineRule="exact"/>
              <w:rPr>
                <w:rFonts w:ascii="仿宋_GB2312" w:hAnsi="宋体" w:eastAsia="仿宋_GB2312"/>
                <w:szCs w:val="21"/>
              </w:rPr>
            </w:pPr>
          </w:p>
        </w:tc>
        <w:tc>
          <w:tcPr>
            <w:tcW w:w="1276" w:type="dxa"/>
            <w:vAlign w:val="center"/>
          </w:tcPr>
          <w:p>
            <w:pPr>
              <w:spacing w:line="400" w:lineRule="exact"/>
              <w:rPr>
                <w:rFonts w:ascii="仿宋_GB2312" w:hAnsi="宋体" w:eastAsia="仿宋_GB2312"/>
                <w:szCs w:val="21"/>
              </w:rPr>
            </w:pPr>
          </w:p>
        </w:tc>
      </w:tr>
    </w:tbl>
    <w:p>
      <w:pPr>
        <w:numPr>
          <w:ilvl w:val="0"/>
          <w:numId w:val="3"/>
        </w:numPr>
        <w:spacing w:line="400" w:lineRule="exact"/>
        <w:rPr>
          <w:rFonts w:ascii="仿宋_GB2312" w:hAnsi="宋体" w:eastAsia="仿宋_GB2312"/>
          <w:szCs w:val="21"/>
        </w:rPr>
      </w:pPr>
      <w:r>
        <w:rPr>
          <w:rFonts w:hint="eastAsia" w:ascii="仿宋_GB2312" w:hAnsi="宋体" w:eastAsia="仿宋_GB2312"/>
          <w:szCs w:val="21"/>
        </w:rPr>
        <w:t>竞投人分栏中填写“√”表示该项符合竞投文件要求，“×”表示该项目不符合竞投文件要求。</w:t>
      </w:r>
    </w:p>
    <w:p>
      <w:pPr>
        <w:numPr>
          <w:ilvl w:val="0"/>
          <w:numId w:val="3"/>
        </w:numPr>
        <w:spacing w:line="400" w:lineRule="exact"/>
        <w:rPr>
          <w:rFonts w:ascii="仿宋_GB2312" w:hAnsi="宋体" w:eastAsia="仿宋_GB2312"/>
          <w:szCs w:val="21"/>
        </w:rPr>
      </w:pPr>
      <w:r>
        <w:rPr>
          <w:rFonts w:hint="eastAsia" w:ascii="仿宋_GB2312" w:hAnsi="宋体" w:eastAsia="仿宋_GB2312"/>
          <w:szCs w:val="21"/>
        </w:rPr>
        <w:t>结论栏中填写“通过”表示该竞投人竞投文件符合要求，“×”表示该竞投人竞投文件不符合要求。</w:t>
      </w:r>
    </w:p>
    <w:p>
      <w:pPr>
        <w:numPr>
          <w:ilvl w:val="0"/>
          <w:numId w:val="3"/>
        </w:numPr>
        <w:spacing w:line="400" w:lineRule="exact"/>
        <w:rPr>
          <w:rFonts w:ascii="仿宋_GB2312" w:hAnsi="宋体" w:eastAsia="仿宋_GB2312"/>
          <w:szCs w:val="21"/>
        </w:rPr>
      </w:pPr>
      <w:r>
        <w:rPr>
          <w:rFonts w:hint="eastAsia" w:ascii="仿宋_GB2312" w:hAnsi="宋体" w:eastAsia="仿宋_GB2312"/>
          <w:szCs w:val="21"/>
        </w:rPr>
        <w:t>结论栏总意见采取少数服从多数原则确定，即超过半数评委的结论为“通过”则该竞投人通过资格审查，否则不能通过。</w:t>
      </w:r>
    </w:p>
    <w:p>
      <w:pPr>
        <w:spacing w:line="400" w:lineRule="exact"/>
        <w:rPr>
          <w:rFonts w:ascii="仿宋_GB2312" w:hAnsi="宋体" w:eastAsia="仿宋_GB2312"/>
          <w:szCs w:val="21"/>
        </w:rPr>
      </w:pPr>
    </w:p>
    <w:p>
      <w:pPr>
        <w:spacing w:line="400" w:lineRule="exact"/>
        <w:rPr>
          <w:rFonts w:ascii="仿宋_GB2312" w:hAnsi="宋体" w:eastAsia="仿宋_GB2312" w:cs="宋体"/>
          <w:b/>
          <w:bCs/>
          <w:sz w:val="30"/>
          <w:szCs w:val="30"/>
        </w:rPr>
      </w:pPr>
      <w:r>
        <w:rPr>
          <w:rFonts w:hint="eastAsia" w:ascii="仿宋_GB2312" w:hAnsi="宋体" w:eastAsia="仿宋_GB2312"/>
          <w:szCs w:val="21"/>
        </w:rPr>
        <w:t>评委签名：</w:t>
      </w:r>
    </w:p>
    <w:p>
      <w:pPr>
        <w:spacing w:line="400" w:lineRule="exact"/>
        <w:rPr>
          <w:rFonts w:ascii="仿宋_GB2312" w:hAnsi="宋体" w:eastAsia="仿宋_GB2312" w:cs="宋体"/>
          <w:b/>
          <w:bCs/>
          <w:sz w:val="30"/>
          <w:szCs w:val="30"/>
        </w:rPr>
      </w:pP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jc w:val="center"/>
        <w:rPr>
          <w:rFonts w:ascii="宋体" w:hAnsi="宋体" w:cs="宋体"/>
          <w:b/>
          <w:bCs/>
          <w:color w:val="000000"/>
          <w:sz w:val="32"/>
          <w:szCs w:val="32"/>
        </w:rPr>
      </w:pPr>
      <w:r>
        <w:rPr>
          <w:rFonts w:ascii="宋体" w:hAnsi="宋体" w:cs="宋体"/>
          <w:b/>
          <w:bCs/>
          <w:color w:val="000000"/>
          <w:sz w:val="32"/>
          <w:szCs w:val="32"/>
        </w:rPr>
        <w:br w:type="page"/>
      </w:r>
      <w:r>
        <w:rPr>
          <w:rFonts w:hint="eastAsia" w:ascii="宋体" w:hAnsi="宋体" w:cs="宋体"/>
          <w:b/>
          <w:bCs/>
          <w:color w:val="000000"/>
          <w:sz w:val="32"/>
          <w:szCs w:val="32"/>
        </w:rPr>
        <w:t>综合评分表</w:t>
      </w:r>
    </w:p>
    <w:bookmarkEnd w:id="13"/>
    <w:bookmarkEnd w:id="14"/>
    <w:tbl>
      <w:tblPr>
        <w:tblStyle w:val="11"/>
        <w:tblW w:w="5353" w:type="pct"/>
        <w:tblInd w:w="-601" w:type="dxa"/>
        <w:tblLayout w:type="autofit"/>
        <w:tblCellMar>
          <w:top w:w="0" w:type="dxa"/>
          <w:left w:w="108" w:type="dxa"/>
          <w:bottom w:w="0" w:type="dxa"/>
          <w:right w:w="108" w:type="dxa"/>
        </w:tblCellMar>
      </w:tblPr>
      <w:tblGrid>
        <w:gridCol w:w="845"/>
        <w:gridCol w:w="566"/>
        <w:gridCol w:w="854"/>
        <w:gridCol w:w="725"/>
        <w:gridCol w:w="5298"/>
        <w:gridCol w:w="836"/>
      </w:tblGrid>
      <w:tr>
        <w:tblPrEx>
          <w:tblCellMar>
            <w:top w:w="0" w:type="dxa"/>
            <w:left w:w="108" w:type="dxa"/>
            <w:bottom w:w="0" w:type="dxa"/>
            <w:right w:w="108" w:type="dxa"/>
          </w:tblCellMar>
        </w:tblPrEx>
        <w:trPr>
          <w:trHeight w:val="556" w:hRule="atLeast"/>
        </w:trPr>
        <w:tc>
          <w:tcPr>
            <w:tcW w:w="46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评分项目</w:t>
            </w:r>
          </w:p>
        </w:tc>
        <w:tc>
          <w:tcPr>
            <w:tcW w:w="31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分值</w:t>
            </w:r>
          </w:p>
        </w:tc>
        <w:tc>
          <w:tcPr>
            <w:tcW w:w="46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评分因素</w:t>
            </w:r>
          </w:p>
        </w:tc>
        <w:tc>
          <w:tcPr>
            <w:tcW w:w="3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分值分配</w:t>
            </w:r>
          </w:p>
        </w:tc>
        <w:tc>
          <w:tcPr>
            <w:tcW w:w="290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_GB2312" w:hAnsi="仿宋_GB2312" w:eastAsia="仿宋_GB2312" w:cs="仿宋_GB2312"/>
                <w:bCs/>
                <w:sz w:val="24"/>
              </w:rPr>
              <w:t>评审标准</w:t>
            </w:r>
          </w:p>
        </w:tc>
        <w:tc>
          <w:tcPr>
            <w:tcW w:w="458"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得分</w:t>
            </w:r>
          </w:p>
        </w:tc>
      </w:tr>
      <w:tr>
        <w:tblPrEx>
          <w:tblCellMar>
            <w:top w:w="0" w:type="dxa"/>
            <w:left w:w="108" w:type="dxa"/>
            <w:bottom w:w="0" w:type="dxa"/>
            <w:right w:w="108" w:type="dxa"/>
          </w:tblCellMar>
        </w:tblPrEx>
        <w:trPr>
          <w:trHeight w:val="829" w:hRule="atLeast"/>
        </w:trPr>
        <w:tc>
          <w:tcPr>
            <w:tcW w:w="46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价格评分</w:t>
            </w:r>
          </w:p>
        </w:tc>
        <w:tc>
          <w:tcPr>
            <w:tcW w:w="3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50</w:t>
            </w:r>
          </w:p>
        </w:tc>
        <w:tc>
          <w:tcPr>
            <w:tcW w:w="46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价格得分</w:t>
            </w:r>
          </w:p>
        </w:tc>
        <w:tc>
          <w:tcPr>
            <w:tcW w:w="39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50分</w:t>
            </w:r>
          </w:p>
        </w:tc>
        <w:tc>
          <w:tcPr>
            <w:tcW w:w="2902"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_GB2312" w:hAnsi="宋体" w:eastAsia="仿宋_GB2312" w:cs="宋体"/>
                <w:kern w:val="0"/>
                <w:szCs w:val="21"/>
              </w:rPr>
              <w:t>以通过本项目资格及符合性检查且若位于[项目限价*80%，项目限价]区间的竞投报价（不含税，下同）计算算术平均值，该算术平均值为评标基准价。竞投报价中等于或最接近于评标基准价的报价单位得50分，其余报价单位的报价每高于或低于评标基准价5%，扣2分，未达到5%按5%扣取，得出经济分，精确到小数点后两位。凡不在本项目设置的合理报价区间范围内的报价单位得0分</w:t>
            </w:r>
          </w:p>
        </w:tc>
        <w:tc>
          <w:tcPr>
            <w:tcW w:w="458" w:type="pct"/>
            <w:tcBorders>
              <w:top w:val="nil"/>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982" w:hRule="atLeast"/>
        </w:trPr>
        <w:tc>
          <w:tcPr>
            <w:tcW w:w="46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商务评分</w:t>
            </w:r>
          </w:p>
        </w:tc>
        <w:tc>
          <w:tcPr>
            <w:tcW w:w="31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w:t>
            </w:r>
          </w:p>
        </w:tc>
        <w:tc>
          <w:tcPr>
            <w:tcW w:w="46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公司业绩及同类经验</w:t>
            </w:r>
          </w:p>
        </w:tc>
        <w:tc>
          <w:tcPr>
            <w:tcW w:w="39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10分</w:t>
            </w:r>
          </w:p>
        </w:tc>
        <w:tc>
          <w:tcPr>
            <w:tcW w:w="2902"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公司资信情况良好，服务过同类性质项目，每提供相应合同或中标通知书等相关证明文件获得2分，最高得10分。</w:t>
            </w:r>
          </w:p>
        </w:tc>
        <w:tc>
          <w:tcPr>
            <w:tcW w:w="458" w:type="pct"/>
            <w:tcBorders>
              <w:top w:val="nil"/>
              <w:left w:val="nil"/>
              <w:bottom w:val="single" w:color="auto" w:sz="4" w:space="0"/>
              <w:right w:val="single" w:color="auto" w:sz="4" w:space="0"/>
            </w:tcBorders>
          </w:tcPr>
          <w:p>
            <w:pPr>
              <w:widowControl/>
              <w:jc w:val="left"/>
              <w:rPr>
                <w:rFonts w:ascii="仿宋" w:hAnsi="仿宋" w:eastAsia="仿宋" w:cs="宋体"/>
                <w:kern w:val="0"/>
                <w:szCs w:val="21"/>
              </w:rPr>
            </w:pPr>
          </w:p>
        </w:tc>
      </w:tr>
      <w:tr>
        <w:tblPrEx>
          <w:tblCellMar>
            <w:top w:w="0" w:type="dxa"/>
            <w:left w:w="108" w:type="dxa"/>
            <w:bottom w:w="0" w:type="dxa"/>
            <w:right w:w="108" w:type="dxa"/>
          </w:tblCellMar>
        </w:tblPrEx>
        <w:trPr>
          <w:trHeight w:val="842" w:hRule="atLeast"/>
        </w:trPr>
        <w:tc>
          <w:tcPr>
            <w:tcW w:w="463" w:type="pct"/>
            <w:vMerge w:val="restart"/>
            <w:tcBorders>
              <w:left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服务方案评分</w:t>
            </w:r>
          </w:p>
        </w:tc>
        <w:tc>
          <w:tcPr>
            <w:tcW w:w="310" w:type="pct"/>
            <w:vMerge w:val="restart"/>
            <w:tcBorders>
              <w:left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40</w:t>
            </w:r>
          </w:p>
        </w:tc>
        <w:tc>
          <w:tcPr>
            <w:tcW w:w="467" w:type="pct"/>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Cs w:val="21"/>
              </w:rPr>
            </w:pPr>
            <w:r>
              <w:rPr>
                <w:rFonts w:hint="eastAsia" w:ascii="仿宋" w:hAnsi="仿宋" w:eastAsia="仿宋" w:cs="宋体"/>
                <w:kern w:val="0"/>
                <w:szCs w:val="21"/>
              </w:rPr>
              <w:t>推广画面建议方案</w:t>
            </w:r>
          </w:p>
        </w:tc>
        <w:tc>
          <w:tcPr>
            <w:tcW w:w="39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15分</w:t>
            </w:r>
          </w:p>
        </w:tc>
        <w:tc>
          <w:tcPr>
            <w:tcW w:w="2902"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推广画面建议方案贴合项目产品性质与形象，宣传内容丰富，符合推广需求 10-15 分</w:t>
            </w:r>
          </w:p>
          <w:p>
            <w:pPr>
              <w:widowControl/>
              <w:jc w:val="left"/>
              <w:rPr>
                <w:rFonts w:ascii="仿宋" w:hAnsi="仿宋" w:eastAsia="仿宋" w:cs="宋体"/>
                <w:kern w:val="0"/>
                <w:szCs w:val="21"/>
              </w:rPr>
            </w:pPr>
            <w:r>
              <w:rPr>
                <w:rFonts w:hint="eastAsia" w:ascii="仿宋" w:hAnsi="仿宋" w:eastAsia="仿宋" w:cs="宋体"/>
                <w:kern w:val="0"/>
                <w:szCs w:val="21"/>
              </w:rPr>
              <w:t>推广画面建议方案较贴合项目产品性质与形象，宣传较内容丰富，较符合推广需求 5-9 分</w:t>
            </w:r>
          </w:p>
          <w:p>
            <w:pPr>
              <w:widowControl/>
              <w:jc w:val="left"/>
              <w:rPr>
                <w:rFonts w:ascii="仿宋" w:hAnsi="仿宋" w:eastAsia="仿宋" w:cs="宋体"/>
                <w:kern w:val="0"/>
                <w:szCs w:val="21"/>
              </w:rPr>
            </w:pPr>
            <w:r>
              <w:rPr>
                <w:rFonts w:hint="eastAsia" w:ascii="仿宋" w:hAnsi="仿宋" w:eastAsia="仿宋" w:cs="宋体"/>
                <w:kern w:val="0"/>
                <w:szCs w:val="21"/>
              </w:rPr>
              <w:t>推广画面建议方案较普通，部分符合项目推广需求 0-4 分</w:t>
            </w:r>
          </w:p>
        </w:tc>
        <w:tc>
          <w:tcPr>
            <w:tcW w:w="458" w:type="pct"/>
            <w:tcBorders>
              <w:top w:val="nil"/>
              <w:left w:val="nil"/>
              <w:bottom w:val="single" w:color="auto" w:sz="4" w:space="0"/>
              <w:right w:val="single" w:color="auto" w:sz="4" w:space="0"/>
            </w:tcBorders>
          </w:tcPr>
          <w:p>
            <w:pPr>
              <w:widowControl/>
              <w:ind w:left="425"/>
              <w:jc w:val="left"/>
              <w:rPr>
                <w:rFonts w:ascii="仿宋" w:hAnsi="仿宋" w:eastAsia="仿宋" w:cs="宋体"/>
                <w:kern w:val="0"/>
                <w:szCs w:val="21"/>
              </w:rPr>
            </w:pPr>
          </w:p>
        </w:tc>
      </w:tr>
      <w:tr>
        <w:tblPrEx>
          <w:tblCellMar>
            <w:top w:w="0" w:type="dxa"/>
            <w:left w:w="108" w:type="dxa"/>
            <w:bottom w:w="0" w:type="dxa"/>
            <w:right w:w="108" w:type="dxa"/>
          </w:tblCellMar>
        </w:tblPrEx>
        <w:trPr>
          <w:trHeight w:val="1376" w:hRule="atLeast"/>
        </w:trPr>
        <w:tc>
          <w:tcPr>
            <w:tcW w:w="463" w:type="pct"/>
            <w:vMerge w:val="continue"/>
            <w:tcBorders>
              <w:left w:val="single" w:color="auto" w:sz="4" w:space="0"/>
              <w:right w:val="single" w:color="auto" w:sz="4" w:space="0"/>
            </w:tcBorders>
            <w:vAlign w:val="center"/>
          </w:tcPr>
          <w:p>
            <w:pPr>
              <w:widowControl/>
              <w:jc w:val="center"/>
              <w:rPr>
                <w:rFonts w:ascii="仿宋" w:hAnsi="仿宋" w:eastAsia="仿宋" w:cs="宋体"/>
                <w:kern w:val="0"/>
                <w:szCs w:val="21"/>
              </w:rPr>
            </w:pPr>
          </w:p>
        </w:tc>
        <w:tc>
          <w:tcPr>
            <w:tcW w:w="310" w:type="pct"/>
            <w:vMerge w:val="continue"/>
            <w:tcBorders>
              <w:left w:val="single" w:color="auto" w:sz="4" w:space="0"/>
              <w:right w:val="single" w:color="auto" w:sz="4" w:space="0"/>
            </w:tcBorders>
            <w:vAlign w:val="center"/>
          </w:tcPr>
          <w:p>
            <w:pPr>
              <w:widowControl/>
              <w:jc w:val="center"/>
              <w:rPr>
                <w:rFonts w:ascii="仿宋" w:hAnsi="仿宋" w:eastAsia="仿宋" w:cs="宋体"/>
                <w:kern w:val="0"/>
                <w:szCs w:val="21"/>
              </w:rPr>
            </w:pPr>
          </w:p>
        </w:tc>
        <w:tc>
          <w:tcPr>
            <w:tcW w:w="46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执行</w:t>
            </w:r>
          </w:p>
          <w:p>
            <w:pPr>
              <w:widowControl/>
              <w:jc w:val="center"/>
              <w:rPr>
                <w:rFonts w:ascii="仿宋" w:hAnsi="仿宋" w:eastAsia="仿宋" w:cs="宋体"/>
                <w:kern w:val="0"/>
                <w:szCs w:val="21"/>
              </w:rPr>
            </w:pPr>
            <w:r>
              <w:rPr>
                <w:rFonts w:hint="eastAsia" w:ascii="仿宋" w:hAnsi="仿宋" w:eastAsia="仿宋" w:cs="宋体"/>
                <w:kern w:val="0"/>
                <w:szCs w:val="21"/>
              </w:rPr>
              <w:t>方案</w:t>
            </w:r>
          </w:p>
        </w:tc>
        <w:tc>
          <w:tcPr>
            <w:tcW w:w="39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15分</w:t>
            </w:r>
          </w:p>
        </w:tc>
        <w:tc>
          <w:tcPr>
            <w:tcW w:w="2902"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画面制作时效快，画面制作质量高，突发事件应变能力强10-15 分</w:t>
            </w:r>
          </w:p>
          <w:p>
            <w:pPr>
              <w:widowControl/>
              <w:jc w:val="left"/>
              <w:rPr>
                <w:rFonts w:ascii="仿宋" w:hAnsi="仿宋" w:eastAsia="仿宋" w:cs="宋体"/>
                <w:kern w:val="0"/>
                <w:szCs w:val="21"/>
              </w:rPr>
            </w:pPr>
            <w:r>
              <w:rPr>
                <w:rFonts w:hint="eastAsia" w:ascii="仿宋" w:hAnsi="仿宋" w:eastAsia="仿宋" w:cs="宋体"/>
                <w:kern w:val="0"/>
                <w:szCs w:val="21"/>
              </w:rPr>
              <w:t>画面制作时效较快、画面制作质量较高，突发事件应变能力强5-9分</w:t>
            </w:r>
          </w:p>
          <w:p>
            <w:pPr>
              <w:widowControl/>
              <w:jc w:val="left"/>
              <w:rPr>
                <w:rFonts w:ascii="仿宋" w:hAnsi="仿宋" w:eastAsia="仿宋" w:cs="宋体"/>
                <w:kern w:val="0"/>
                <w:szCs w:val="21"/>
              </w:rPr>
            </w:pPr>
            <w:r>
              <w:rPr>
                <w:rFonts w:hint="eastAsia" w:ascii="仿宋" w:hAnsi="仿宋" w:eastAsia="仿宋" w:cs="宋体"/>
                <w:kern w:val="0"/>
                <w:szCs w:val="21"/>
              </w:rPr>
              <w:t>画面制作时效一般、画面制作质量一般，没有体现突发事件应变能力 0-4分</w:t>
            </w:r>
          </w:p>
        </w:tc>
        <w:tc>
          <w:tcPr>
            <w:tcW w:w="458" w:type="pct"/>
            <w:tcBorders>
              <w:top w:val="nil"/>
              <w:left w:val="nil"/>
              <w:bottom w:val="single" w:color="auto" w:sz="4" w:space="0"/>
              <w:right w:val="single" w:color="auto" w:sz="4" w:space="0"/>
            </w:tcBorders>
          </w:tcPr>
          <w:p>
            <w:pPr>
              <w:widowControl/>
              <w:ind w:left="425"/>
              <w:jc w:val="left"/>
              <w:rPr>
                <w:rFonts w:ascii="仿宋" w:hAnsi="仿宋" w:eastAsia="仿宋" w:cs="宋体"/>
                <w:kern w:val="0"/>
                <w:szCs w:val="21"/>
              </w:rPr>
            </w:pPr>
          </w:p>
        </w:tc>
      </w:tr>
      <w:tr>
        <w:tblPrEx>
          <w:tblCellMar>
            <w:top w:w="0" w:type="dxa"/>
            <w:left w:w="108" w:type="dxa"/>
            <w:bottom w:w="0" w:type="dxa"/>
            <w:right w:w="108" w:type="dxa"/>
          </w:tblCellMar>
        </w:tblPrEx>
        <w:trPr>
          <w:trHeight w:val="1376" w:hRule="atLeast"/>
        </w:trPr>
        <w:tc>
          <w:tcPr>
            <w:tcW w:w="463" w:type="pct"/>
            <w:vMerge w:val="continue"/>
            <w:tcBorders>
              <w:left w:val="single" w:color="auto" w:sz="4" w:space="0"/>
              <w:right w:val="single" w:color="auto" w:sz="4" w:space="0"/>
            </w:tcBorders>
            <w:vAlign w:val="center"/>
          </w:tcPr>
          <w:p>
            <w:pPr>
              <w:widowControl/>
              <w:jc w:val="center"/>
              <w:rPr>
                <w:rFonts w:ascii="仿宋" w:hAnsi="仿宋" w:eastAsia="仿宋" w:cs="宋体"/>
                <w:kern w:val="0"/>
                <w:szCs w:val="21"/>
              </w:rPr>
            </w:pPr>
          </w:p>
        </w:tc>
        <w:tc>
          <w:tcPr>
            <w:tcW w:w="310" w:type="pct"/>
            <w:vMerge w:val="continue"/>
            <w:tcBorders>
              <w:left w:val="single" w:color="auto" w:sz="4" w:space="0"/>
              <w:right w:val="single" w:color="auto" w:sz="4" w:space="0"/>
            </w:tcBorders>
            <w:vAlign w:val="center"/>
          </w:tcPr>
          <w:p>
            <w:pPr>
              <w:widowControl/>
              <w:jc w:val="center"/>
              <w:rPr>
                <w:rFonts w:ascii="仿宋" w:hAnsi="仿宋" w:eastAsia="仿宋" w:cs="宋体"/>
                <w:kern w:val="0"/>
                <w:szCs w:val="21"/>
              </w:rPr>
            </w:pPr>
          </w:p>
        </w:tc>
        <w:tc>
          <w:tcPr>
            <w:tcW w:w="467" w:type="pct"/>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Cs w:val="21"/>
              </w:rPr>
            </w:pPr>
            <w:r>
              <w:rPr>
                <w:rFonts w:hint="eastAsia" w:ascii="仿宋" w:hAnsi="仿宋" w:eastAsia="仿宋" w:cs="宋体"/>
                <w:kern w:val="0"/>
                <w:szCs w:val="21"/>
              </w:rPr>
              <w:t>效果反馈监测方案</w:t>
            </w:r>
          </w:p>
        </w:tc>
        <w:tc>
          <w:tcPr>
            <w:tcW w:w="39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10分</w:t>
            </w:r>
          </w:p>
        </w:tc>
        <w:tc>
          <w:tcPr>
            <w:tcW w:w="2902"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效果监测方案完善 7-10 分</w:t>
            </w:r>
          </w:p>
          <w:p>
            <w:pPr>
              <w:widowControl/>
              <w:jc w:val="left"/>
              <w:rPr>
                <w:rFonts w:ascii="仿宋" w:hAnsi="仿宋" w:eastAsia="仿宋" w:cs="宋体"/>
                <w:kern w:val="0"/>
                <w:szCs w:val="21"/>
              </w:rPr>
            </w:pPr>
            <w:r>
              <w:rPr>
                <w:rFonts w:hint="eastAsia" w:ascii="仿宋" w:hAnsi="仿宋" w:eastAsia="仿宋" w:cs="宋体"/>
                <w:kern w:val="0"/>
                <w:szCs w:val="21"/>
              </w:rPr>
              <w:t>效果监测方案较完善，4-6 分</w:t>
            </w:r>
          </w:p>
          <w:p>
            <w:pPr>
              <w:widowControl/>
              <w:jc w:val="left"/>
              <w:rPr>
                <w:rFonts w:ascii="仿宋" w:hAnsi="仿宋" w:eastAsia="仿宋" w:cs="宋体"/>
                <w:kern w:val="0"/>
                <w:szCs w:val="21"/>
              </w:rPr>
            </w:pPr>
            <w:r>
              <w:rPr>
                <w:rFonts w:hint="eastAsia" w:ascii="仿宋" w:hAnsi="仿宋" w:eastAsia="仿宋" w:cs="宋体"/>
                <w:kern w:val="0"/>
                <w:szCs w:val="21"/>
              </w:rPr>
              <w:t>效果监测方案缺乏完善， 0-3 分</w:t>
            </w:r>
          </w:p>
        </w:tc>
        <w:tc>
          <w:tcPr>
            <w:tcW w:w="458" w:type="pct"/>
            <w:tcBorders>
              <w:top w:val="nil"/>
              <w:left w:val="nil"/>
              <w:bottom w:val="single" w:color="auto" w:sz="4" w:space="0"/>
              <w:right w:val="single" w:color="auto" w:sz="4" w:space="0"/>
            </w:tcBorders>
          </w:tcPr>
          <w:p>
            <w:pPr>
              <w:widowControl/>
              <w:ind w:left="425"/>
              <w:jc w:val="left"/>
              <w:rPr>
                <w:rFonts w:ascii="仿宋" w:hAnsi="仿宋" w:eastAsia="仿宋" w:cs="宋体"/>
                <w:kern w:val="0"/>
                <w:szCs w:val="21"/>
              </w:rPr>
            </w:pPr>
          </w:p>
        </w:tc>
      </w:tr>
      <w:tr>
        <w:tblPrEx>
          <w:tblCellMar>
            <w:top w:w="0" w:type="dxa"/>
            <w:left w:w="108" w:type="dxa"/>
            <w:bottom w:w="0" w:type="dxa"/>
            <w:right w:w="108" w:type="dxa"/>
          </w:tblCellMar>
        </w:tblPrEx>
        <w:trPr>
          <w:trHeight w:val="565" w:hRule="atLeast"/>
        </w:trPr>
        <w:tc>
          <w:tcPr>
            <w:tcW w:w="124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合计</w:t>
            </w:r>
          </w:p>
        </w:tc>
        <w:tc>
          <w:tcPr>
            <w:tcW w:w="39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100分</w:t>
            </w:r>
          </w:p>
        </w:tc>
        <w:tc>
          <w:tcPr>
            <w:tcW w:w="2902"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458" w:type="pct"/>
            <w:tcBorders>
              <w:top w:val="nil"/>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keepNext/>
        <w:keepLines/>
        <w:spacing w:before="260" w:after="260" w:line="400" w:lineRule="exact"/>
        <w:jc w:val="center"/>
        <w:outlineLvl w:val="1"/>
        <w:rPr>
          <w:rFonts w:ascii="宋体" w:hAnsi="宋体" w:cs="宋体"/>
          <w:b/>
          <w:sz w:val="32"/>
          <w:szCs w:val="32"/>
        </w:rPr>
      </w:pPr>
    </w:p>
    <w:p>
      <w:pPr>
        <w:keepNext/>
        <w:keepLines/>
        <w:spacing w:before="260" w:after="260" w:line="400" w:lineRule="exact"/>
        <w:outlineLvl w:val="1"/>
        <w:rPr>
          <w:rFonts w:ascii="宋体" w:hAnsi="宋体" w:cs="宋体"/>
          <w:b/>
          <w:sz w:val="32"/>
          <w:szCs w:val="32"/>
        </w:rPr>
      </w:pPr>
    </w:p>
    <w:p>
      <w:pPr>
        <w:keepNext/>
        <w:keepLines/>
        <w:spacing w:before="260" w:after="260" w:line="400" w:lineRule="exact"/>
        <w:jc w:val="center"/>
        <w:outlineLvl w:val="1"/>
        <w:rPr>
          <w:rFonts w:ascii="宋体" w:hAnsi="宋体" w:cs="宋体"/>
          <w:b/>
          <w:sz w:val="32"/>
          <w:szCs w:val="32"/>
        </w:rPr>
      </w:pPr>
      <w:r>
        <w:rPr>
          <w:rFonts w:hint="eastAsia" w:ascii="宋体" w:hAnsi="宋体" w:cs="宋体"/>
          <w:b/>
          <w:sz w:val="32"/>
          <w:szCs w:val="32"/>
        </w:rPr>
        <w:t>综合评审汇总表</w:t>
      </w:r>
    </w:p>
    <w:tbl>
      <w:tblPr>
        <w:tblStyle w:val="11"/>
        <w:tblW w:w="10275" w:type="dxa"/>
        <w:tblInd w:w="-6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287"/>
        <w:gridCol w:w="1532"/>
        <w:gridCol w:w="1393"/>
        <w:gridCol w:w="1393"/>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trPr>
        <w:tc>
          <w:tcPr>
            <w:tcW w:w="1941"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有效竞投人名称</w:t>
            </w:r>
          </w:p>
        </w:tc>
        <w:tc>
          <w:tcPr>
            <w:tcW w:w="2287"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商务得分</w:t>
            </w:r>
          </w:p>
        </w:tc>
        <w:tc>
          <w:tcPr>
            <w:tcW w:w="1532"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技术得分</w:t>
            </w:r>
          </w:p>
        </w:tc>
        <w:tc>
          <w:tcPr>
            <w:tcW w:w="1393"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经济得分</w:t>
            </w:r>
          </w:p>
        </w:tc>
        <w:tc>
          <w:tcPr>
            <w:tcW w:w="1393"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总得分</w:t>
            </w:r>
          </w:p>
        </w:tc>
        <w:tc>
          <w:tcPr>
            <w:tcW w:w="1729"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729"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729"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729"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729"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729" w:type="dxa"/>
          </w:tcPr>
          <w:p>
            <w:pPr>
              <w:spacing w:line="400" w:lineRule="exact"/>
              <w:rPr>
                <w:rFonts w:ascii="仿宋_GB2312" w:hAnsi="宋体" w:eastAsia="仿宋_GB2312" w:cs="宋体"/>
                <w:kern w:val="0"/>
                <w:szCs w:val="21"/>
              </w:rPr>
            </w:pPr>
          </w:p>
        </w:tc>
      </w:tr>
    </w:tbl>
    <w:p>
      <w:pPr>
        <w:rPr>
          <w:rFonts w:ascii="Calibri" w:hAnsi="Calibri"/>
        </w:rPr>
      </w:pPr>
    </w:p>
    <w:p>
      <w:pPr>
        <w:rPr>
          <w:rFonts w:ascii="Calibri" w:hAnsi="Calibri"/>
        </w:rPr>
      </w:pPr>
      <w:r>
        <w:rPr>
          <w:rFonts w:hint="eastAsia" w:ascii="Calibri" w:hAnsi="Calibri"/>
        </w:rPr>
        <w:t>评委签名：</w:t>
      </w:r>
    </w:p>
    <w:p>
      <w:pPr>
        <w:rPr>
          <w:rFonts w:ascii="仿宋" w:hAnsi="仿宋" w:eastAsia="仿宋"/>
          <w:b/>
          <w:sz w:val="32"/>
          <w:szCs w:val="32"/>
        </w:rPr>
      </w:pPr>
      <w:r>
        <w:rPr>
          <w:rFonts w:ascii="Calibri" w:hAnsi="Calibri"/>
          <w:sz w:val="36"/>
          <w:szCs w:val="36"/>
        </w:rPr>
        <w:br w:type="page"/>
      </w:r>
      <w:r>
        <w:rPr>
          <w:rFonts w:hint="eastAsia" w:ascii="仿宋" w:hAnsi="仿宋" w:eastAsia="仿宋"/>
          <w:b/>
          <w:sz w:val="32"/>
          <w:szCs w:val="32"/>
        </w:rPr>
        <w:t>四、采购合同/协议</w:t>
      </w: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400" w:lineRule="atLeast"/>
        <w:jc w:val="center"/>
        <w:rPr>
          <w:rFonts w:ascii="宋体" w:hAnsi="宋体"/>
          <w:b/>
          <w:sz w:val="44"/>
          <w:szCs w:val="44"/>
        </w:rPr>
      </w:pPr>
      <w:r>
        <w:rPr>
          <w:rFonts w:hint="eastAsia" w:ascii="宋体" w:hAnsi="宋体"/>
          <w:b/>
          <w:sz w:val="44"/>
          <w:szCs w:val="44"/>
        </w:rPr>
        <w:t>公交车身广告制作及发布业务合同</w:t>
      </w:r>
    </w:p>
    <w:p>
      <w:pPr>
        <w:spacing w:line="400" w:lineRule="atLeast"/>
        <w:jc w:val="center"/>
        <w:rPr>
          <w:rFonts w:ascii="宋体" w:hAnsi="宋体"/>
          <w:szCs w:val="21"/>
        </w:rPr>
      </w:pPr>
      <w:r>
        <w:rPr>
          <w:rFonts w:hint="eastAsia" w:ascii="宋体" w:hAnsi="宋体"/>
          <w:b/>
          <w:szCs w:val="21"/>
        </w:rPr>
        <w:t xml:space="preserve">                                                                </w:t>
      </w:r>
      <w:r>
        <w:rPr>
          <w:rFonts w:hint="eastAsia" w:ascii="宋体" w:hAnsi="宋体"/>
          <w:szCs w:val="21"/>
        </w:rPr>
        <w:t>合同编号：</w:t>
      </w:r>
    </w:p>
    <w:p>
      <w:pPr>
        <w:widowControl/>
        <w:jc w:val="left"/>
        <w:rPr>
          <w:rFonts w:ascii="宋体" w:hAnsi="宋体" w:cs="宋体"/>
          <w:kern w:val="0"/>
          <w:sz w:val="24"/>
        </w:rPr>
      </w:pPr>
      <w:r>
        <w:rPr>
          <w:rFonts w:hint="eastAsia" w:ascii="宋体" w:hAnsi="宋体"/>
          <w:szCs w:val="21"/>
        </w:rPr>
        <w:t>甲方：</w:t>
      </w:r>
    </w:p>
    <w:p>
      <w:pPr>
        <w:tabs>
          <w:tab w:val="left" w:pos="480"/>
        </w:tabs>
        <w:rPr>
          <w:rFonts w:ascii="宋体" w:hAnsi="宋体" w:cs="幼圆"/>
          <w:bCs/>
          <w:kern w:val="0"/>
          <w:szCs w:val="21"/>
          <w:lang w:val="zh-CN"/>
        </w:rPr>
      </w:pPr>
      <w:r>
        <w:rPr>
          <w:rFonts w:hint="eastAsia" w:ascii="宋体" w:hAnsi="宋体"/>
          <w:szCs w:val="21"/>
        </w:rPr>
        <w:t>乙方：</w:t>
      </w:r>
    </w:p>
    <w:p>
      <w:pPr>
        <w:rPr>
          <w:rFonts w:ascii="宋体" w:hAnsi="宋体" w:cs="幼圆"/>
          <w:bCs/>
          <w:kern w:val="0"/>
          <w:szCs w:val="21"/>
          <w:lang w:val="zh-CN"/>
        </w:rPr>
      </w:pPr>
    </w:p>
    <w:p>
      <w:pPr>
        <w:ind w:left="1079" w:hanging="1079" w:hangingChars="514"/>
        <w:rPr>
          <w:szCs w:val="21"/>
        </w:rPr>
      </w:pPr>
      <w:r>
        <w:rPr>
          <w:rFonts w:hint="eastAsia"/>
          <w:szCs w:val="21"/>
        </w:rPr>
        <w:t>鉴于甲方：已充分了解公交车身广告是依附在公共交通营运车辆上的广告形式，乙方作为公交车身广告发布代理公司，必需服从车辆权属单位要求，当出现车辆线路调整、更改站点等情况是正常的。在签署公交车车身广告发布合同时，甲方知晓上述情况并承诺服从因此造成的广告发布变更，认可并接受所约定的权利与义务。</w:t>
      </w:r>
    </w:p>
    <w:p>
      <w:pPr>
        <w:ind w:firstLine="420" w:firstLineChars="200"/>
        <w:rPr>
          <w:rFonts w:ascii="宋体" w:hAnsi="宋体"/>
          <w:szCs w:val="21"/>
        </w:rPr>
      </w:pPr>
      <w:r>
        <w:rPr>
          <w:rFonts w:hint="eastAsia" w:ascii="宋体" w:hAnsi="宋体"/>
          <w:szCs w:val="21"/>
        </w:rPr>
        <w:t>一、甲乙双方根据</w:t>
      </w:r>
      <w:r>
        <w:t>《中华人民共和国民法典》、《中华人民共和国广告法》</w:t>
      </w:r>
      <w:r>
        <w:rPr>
          <w:rFonts w:hint="eastAsia" w:ascii="宋体" w:hAnsi="宋体"/>
          <w:szCs w:val="21"/>
        </w:rPr>
        <w:t>及有关规定，签订本合同并共同遵守执行。</w:t>
      </w:r>
    </w:p>
    <w:p>
      <w:pPr>
        <w:ind w:firstLine="420" w:firstLineChars="200"/>
        <w:rPr>
          <w:rFonts w:ascii="宋体" w:hAnsi="宋体"/>
          <w:szCs w:val="21"/>
          <w:u w:val="thick"/>
        </w:rPr>
      </w:pPr>
      <w:r>
        <w:rPr>
          <w:rFonts w:hint="eastAsia" w:ascii="宋体" w:hAnsi="宋体"/>
          <w:szCs w:val="21"/>
        </w:rPr>
        <w:t>1、广告主：</w:t>
      </w:r>
      <w:r>
        <w:rPr>
          <w:rFonts w:hint="eastAsia" w:ascii="宋体" w:hAnsi="宋体"/>
          <w:szCs w:val="21"/>
          <w:u w:val="single"/>
        </w:rPr>
        <w:t xml:space="preserve">                 </w:t>
      </w:r>
      <w:r>
        <w:rPr>
          <w:rFonts w:hint="eastAsia" w:ascii="宋体" w:hAnsi="宋体"/>
          <w:szCs w:val="21"/>
        </w:rPr>
        <w:t>；发布品牌：</w:t>
      </w:r>
      <w:r>
        <w:rPr>
          <w:rFonts w:hint="eastAsia" w:ascii="宋体" w:hAnsi="宋体"/>
          <w:szCs w:val="21"/>
          <w:u w:val="single"/>
        </w:rPr>
        <w:t xml:space="preserve">          </w:t>
      </w:r>
      <w:r>
        <w:rPr>
          <w:rFonts w:hint="eastAsia" w:ascii="宋体" w:hAnsi="宋体"/>
          <w:szCs w:val="21"/>
        </w:rPr>
        <w:t>；</w:t>
      </w:r>
    </w:p>
    <w:p>
      <w:pPr>
        <w:ind w:firstLine="420" w:firstLineChars="200"/>
        <w:rPr>
          <w:rFonts w:ascii="宋体" w:hAnsi="宋体"/>
          <w:szCs w:val="21"/>
          <w:u w:val="thick"/>
        </w:rPr>
      </w:pPr>
      <w:r>
        <w:rPr>
          <w:rFonts w:hint="eastAsia" w:ascii="宋体" w:hAnsi="宋体"/>
          <w:szCs w:val="21"/>
        </w:rPr>
        <w:t xml:space="preserve">2、广告媒体：  </w:t>
      </w:r>
      <w:r>
        <w:rPr>
          <w:rFonts w:hint="eastAsia" w:ascii="宋体" w:hAnsi="宋体"/>
          <w:szCs w:val="21"/>
          <w:u w:val="single"/>
        </w:rPr>
        <w:t xml:space="preserve"> 全车身广告  </w:t>
      </w:r>
      <w:r>
        <w:rPr>
          <w:rFonts w:hint="eastAsia" w:ascii="宋体" w:hAnsi="宋体"/>
          <w:szCs w:val="21"/>
        </w:rPr>
        <w:t>；3、制作形式：</w:t>
      </w:r>
      <w:r>
        <w:rPr>
          <w:rFonts w:hint="eastAsia" w:ascii="宋体" w:hAnsi="宋体"/>
          <w:szCs w:val="21"/>
          <w:u w:val="single"/>
        </w:rPr>
        <w:t xml:space="preserve">   电脑喷画  </w:t>
      </w:r>
      <w:r>
        <w:rPr>
          <w:rFonts w:hint="eastAsia" w:ascii="宋体" w:hAnsi="宋体"/>
          <w:szCs w:val="21"/>
        </w:rPr>
        <w:t>；</w:t>
      </w:r>
    </w:p>
    <w:p>
      <w:pPr>
        <w:ind w:firstLine="420" w:firstLineChars="200"/>
        <w:rPr>
          <w:rFonts w:ascii="宋体" w:hAnsi="宋体"/>
          <w:szCs w:val="21"/>
        </w:rPr>
      </w:pPr>
      <w:r>
        <w:rPr>
          <w:rFonts w:hint="eastAsia" w:ascii="宋体" w:hAnsi="宋体"/>
          <w:szCs w:val="21"/>
        </w:rPr>
        <w:t>二、发布线路、规格、单价、数量、金额、广告发布时间</w:t>
      </w:r>
      <w:r>
        <w:rPr>
          <w:rFonts w:hint="eastAsia"/>
          <w:szCs w:val="21"/>
          <w:u w:val="single"/>
        </w:rPr>
        <w:t>（以广告揭布时间为准）</w:t>
      </w:r>
      <w:r>
        <w:rPr>
          <w:rFonts w:hint="eastAsia" w:ascii="宋体" w:hAnsi="宋体"/>
          <w:szCs w:val="21"/>
        </w:rPr>
        <w:t>等如下：</w:t>
      </w:r>
    </w:p>
    <w:tbl>
      <w:tblPr>
        <w:tblStyle w:val="11"/>
        <w:tblW w:w="9588" w:type="dxa"/>
        <w:tblInd w:w="93" w:type="dxa"/>
        <w:tblLayout w:type="fixed"/>
        <w:tblCellMar>
          <w:top w:w="0" w:type="dxa"/>
          <w:left w:w="108" w:type="dxa"/>
          <w:bottom w:w="0" w:type="dxa"/>
          <w:right w:w="108" w:type="dxa"/>
        </w:tblCellMar>
      </w:tblPr>
      <w:tblGrid>
        <w:gridCol w:w="397"/>
        <w:gridCol w:w="1319"/>
        <w:gridCol w:w="2367"/>
        <w:gridCol w:w="1376"/>
        <w:gridCol w:w="800"/>
        <w:gridCol w:w="719"/>
        <w:gridCol w:w="1282"/>
        <w:gridCol w:w="1328"/>
      </w:tblGrid>
      <w:tr>
        <w:tblPrEx>
          <w:tblCellMar>
            <w:top w:w="0" w:type="dxa"/>
            <w:left w:w="108" w:type="dxa"/>
            <w:bottom w:w="0" w:type="dxa"/>
            <w:right w:w="108" w:type="dxa"/>
          </w:tblCellMar>
        </w:tblPrEx>
        <w:trPr>
          <w:trHeight w:val="434" w:hRule="atLeast"/>
        </w:trPr>
        <w:tc>
          <w:tcPr>
            <w:tcW w:w="3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131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线路名称</w:t>
            </w:r>
          </w:p>
        </w:tc>
        <w:tc>
          <w:tcPr>
            <w:tcW w:w="23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起止终点</w:t>
            </w:r>
          </w:p>
        </w:tc>
        <w:tc>
          <w:tcPr>
            <w:tcW w:w="13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制作费     （月/辆元）</w:t>
            </w:r>
          </w:p>
        </w:tc>
        <w:tc>
          <w:tcPr>
            <w:tcW w:w="8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发布时间（月）</w:t>
            </w:r>
          </w:p>
        </w:tc>
        <w:tc>
          <w:tcPr>
            <w:tcW w:w="71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数量（辆）</w:t>
            </w:r>
          </w:p>
        </w:tc>
        <w:tc>
          <w:tcPr>
            <w:tcW w:w="12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发布费         （月/辆/元）</w:t>
            </w:r>
          </w:p>
        </w:tc>
        <w:tc>
          <w:tcPr>
            <w:tcW w:w="13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合计金额（元）</w:t>
            </w:r>
          </w:p>
        </w:tc>
      </w:tr>
      <w:tr>
        <w:tblPrEx>
          <w:tblCellMar>
            <w:top w:w="0" w:type="dxa"/>
            <w:left w:w="108" w:type="dxa"/>
            <w:bottom w:w="0" w:type="dxa"/>
            <w:right w:w="108" w:type="dxa"/>
          </w:tblCellMar>
        </w:tblPrEx>
        <w:trPr>
          <w:trHeight w:val="282" w:hRule="atLeast"/>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319"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302</w:t>
            </w:r>
          </w:p>
        </w:tc>
        <w:tc>
          <w:tcPr>
            <w:tcW w:w="23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广州火车东站总站 - 市桥汽车站总站(番禺) </w:t>
            </w:r>
          </w:p>
        </w:tc>
        <w:tc>
          <w:tcPr>
            <w:tcW w:w="1376"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80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719" w:type="dxa"/>
            <w:tcBorders>
              <w:top w:val="nil"/>
              <w:left w:val="nil"/>
              <w:bottom w:val="single" w:color="auto" w:sz="4" w:space="0"/>
              <w:right w:val="single" w:color="auto" w:sz="4" w:space="0"/>
            </w:tcBorders>
            <w:vAlign w:val="center"/>
          </w:tcPr>
          <w:p>
            <w:pPr>
              <w:jc w:val="center"/>
              <w:rPr>
                <w:rFonts w:ascii="宋体" w:hAnsi="宋体" w:cs="宋体"/>
                <w:bCs/>
                <w:color w:val="000000"/>
                <w:kern w:val="0"/>
                <w:sz w:val="18"/>
                <w:szCs w:val="18"/>
              </w:rPr>
            </w:pPr>
          </w:p>
        </w:tc>
        <w:tc>
          <w:tcPr>
            <w:tcW w:w="1282"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1328"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75" w:hRule="atLeast"/>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319"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305</w:t>
            </w:r>
          </w:p>
        </w:tc>
        <w:tc>
          <w:tcPr>
            <w:tcW w:w="23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罗冲围总站[松南路]-广州碧桂园(总站)</w:t>
            </w:r>
          </w:p>
        </w:tc>
        <w:tc>
          <w:tcPr>
            <w:tcW w:w="1376"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80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719" w:type="dxa"/>
            <w:tcBorders>
              <w:top w:val="nil"/>
              <w:left w:val="nil"/>
              <w:bottom w:val="single" w:color="auto" w:sz="4" w:space="0"/>
              <w:right w:val="single" w:color="auto" w:sz="4" w:space="0"/>
            </w:tcBorders>
            <w:vAlign w:val="center"/>
          </w:tcPr>
          <w:p>
            <w:pPr>
              <w:jc w:val="center"/>
              <w:rPr>
                <w:rFonts w:ascii="宋体" w:hAnsi="宋体" w:cs="宋体"/>
                <w:bCs/>
                <w:color w:val="000000"/>
                <w:kern w:val="0"/>
                <w:sz w:val="18"/>
                <w:szCs w:val="18"/>
              </w:rPr>
            </w:pPr>
          </w:p>
        </w:tc>
        <w:tc>
          <w:tcPr>
            <w:tcW w:w="1282"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1328"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75" w:hRule="atLeast"/>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319"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309</w:t>
            </w:r>
          </w:p>
        </w:tc>
        <w:tc>
          <w:tcPr>
            <w:tcW w:w="23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大石地铁站总站-滘口客运站总站</w:t>
            </w:r>
          </w:p>
        </w:tc>
        <w:tc>
          <w:tcPr>
            <w:tcW w:w="1376"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80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719" w:type="dxa"/>
            <w:tcBorders>
              <w:top w:val="nil"/>
              <w:left w:val="nil"/>
              <w:bottom w:val="single" w:color="auto" w:sz="4" w:space="0"/>
              <w:right w:val="single" w:color="auto" w:sz="4" w:space="0"/>
            </w:tcBorders>
            <w:vAlign w:val="center"/>
          </w:tcPr>
          <w:p>
            <w:pPr>
              <w:jc w:val="center"/>
              <w:rPr>
                <w:rFonts w:ascii="宋体" w:hAnsi="宋体" w:cs="宋体"/>
                <w:bCs/>
                <w:color w:val="000000"/>
                <w:kern w:val="0"/>
                <w:sz w:val="18"/>
                <w:szCs w:val="18"/>
              </w:rPr>
            </w:pPr>
          </w:p>
        </w:tc>
        <w:tc>
          <w:tcPr>
            <w:tcW w:w="1282"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1328"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75" w:hRule="atLeast"/>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319"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312</w:t>
            </w:r>
          </w:p>
        </w:tc>
        <w:tc>
          <w:tcPr>
            <w:tcW w:w="23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滘口客运站(总站)—祈福新邨总站</w:t>
            </w:r>
          </w:p>
        </w:tc>
        <w:tc>
          <w:tcPr>
            <w:tcW w:w="1376"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80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719" w:type="dxa"/>
            <w:tcBorders>
              <w:top w:val="nil"/>
              <w:left w:val="nil"/>
              <w:bottom w:val="single" w:color="auto" w:sz="4" w:space="0"/>
              <w:right w:val="single" w:color="auto" w:sz="4" w:space="0"/>
            </w:tcBorders>
            <w:vAlign w:val="center"/>
          </w:tcPr>
          <w:p>
            <w:pPr>
              <w:jc w:val="center"/>
            </w:pPr>
          </w:p>
        </w:tc>
        <w:tc>
          <w:tcPr>
            <w:tcW w:w="1282"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1328"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75" w:hRule="atLeast"/>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319"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301A</w:t>
            </w:r>
          </w:p>
        </w:tc>
        <w:tc>
          <w:tcPr>
            <w:tcW w:w="23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站前路总站(西郊大厦)-广州火车南站总站</w:t>
            </w:r>
          </w:p>
        </w:tc>
        <w:tc>
          <w:tcPr>
            <w:tcW w:w="1376"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80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719" w:type="dxa"/>
            <w:tcBorders>
              <w:top w:val="nil"/>
              <w:left w:val="nil"/>
              <w:bottom w:val="single" w:color="auto" w:sz="4" w:space="0"/>
              <w:right w:val="single" w:color="auto" w:sz="4" w:space="0"/>
            </w:tcBorders>
            <w:vAlign w:val="center"/>
          </w:tcPr>
          <w:p>
            <w:pPr>
              <w:jc w:val="center"/>
              <w:rPr>
                <w:rFonts w:ascii="宋体" w:hAnsi="宋体" w:cs="宋体"/>
                <w:bCs/>
                <w:color w:val="000000"/>
                <w:kern w:val="0"/>
                <w:sz w:val="18"/>
                <w:szCs w:val="18"/>
              </w:rPr>
            </w:pPr>
          </w:p>
        </w:tc>
        <w:tc>
          <w:tcPr>
            <w:tcW w:w="1282"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1328"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75" w:hRule="atLeast"/>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319"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303A</w:t>
            </w:r>
          </w:p>
        </w:tc>
        <w:tc>
          <w:tcPr>
            <w:tcW w:w="23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广州南站—天河客运站</w:t>
            </w:r>
          </w:p>
        </w:tc>
        <w:tc>
          <w:tcPr>
            <w:tcW w:w="1376"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80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719" w:type="dxa"/>
            <w:tcBorders>
              <w:top w:val="nil"/>
              <w:left w:val="nil"/>
              <w:bottom w:val="single" w:color="auto" w:sz="4" w:space="0"/>
              <w:right w:val="single" w:color="auto" w:sz="4" w:space="0"/>
            </w:tcBorders>
            <w:vAlign w:val="center"/>
          </w:tcPr>
          <w:p>
            <w:pPr>
              <w:jc w:val="center"/>
              <w:rPr>
                <w:rFonts w:ascii="宋体" w:hAnsi="宋体" w:cs="宋体"/>
                <w:bCs/>
                <w:color w:val="000000"/>
                <w:kern w:val="0"/>
                <w:sz w:val="18"/>
                <w:szCs w:val="18"/>
              </w:rPr>
            </w:pPr>
          </w:p>
        </w:tc>
        <w:tc>
          <w:tcPr>
            <w:tcW w:w="1282"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8"/>
                <w:szCs w:val="18"/>
              </w:rPr>
            </w:pPr>
          </w:p>
        </w:tc>
        <w:tc>
          <w:tcPr>
            <w:tcW w:w="1328"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75" w:hRule="atLeast"/>
        </w:trPr>
        <w:tc>
          <w:tcPr>
            <w:tcW w:w="40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3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1282"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1328"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r>
    </w:tbl>
    <w:p>
      <w:pPr>
        <w:widowControl/>
        <w:ind w:firstLine="420" w:firstLineChars="200"/>
        <w:rPr>
          <w:rFonts w:ascii="宋体" w:hAnsi="宋体" w:cs="宋体"/>
          <w:szCs w:val="21"/>
        </w:rPr>
      </w:pPr>
    </w:p>
    <w:p>
      <w:pPr>
        <w:widowControl/>
        <w:jc w:val="left"/>
        <w:rPr>
          <w:rFonts w:ascii="宋体" w:hAnsi="宋体" w:cs="宋体"/>
          <w:szCs w:val="21"/>
        </w:rPr>
      </w:pPr>
      <w:r>
        <w:rPr>
          <w:rFonts w:hint="eastAsia" w:ascii="宋体" w:hAnsi="宋体" w:cs="宋体"/>
          <w:szCs w:val="21"/>
        </w:rPr>
        <w:t>本合同约定的含税实收费用人民币</w:t>
      </w:r>
      <w:r>
        <w:rPr>
          <w:rFonts w:hint="eastAsia" w:ascii="宋体" w:hAnsi="宋体" w:cs="宋体"/>
          <w:szCs w:val="21"/>
          <w:u w:val="single"/>
        </w:rPr>
        <w:t xml:space="preserve">                   整</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元整），费用包括但不限于广告发布费、制作费、人工费、税费、安装拆卸费、维护费、亮化费用等。其中广告制作费：</w:t>
      </w:r>
      <w:r>
        <w:rPr>
          <w:rFonts w:hint="eastAsia" w:ascii="宋体" w:hAnsi="宋体" w:cs="宋体"/>
          <w:szCs w:val="21"/>
          <w:u w:val="single"/>
        </w:rPr>
        <w:t xml:space="preserve">        </w:t>
      </w:r>
      <w:r>
        <w:rPr>
          <w:rFonts w:hint="eastAsia" w:ascii="宋体" w:hAnsi="宋体" w:cs="宋体"/>
          <w:szCs w:val="21"/>
        </w:rPr>
        <w:t>元整； 广告发布费</w:t>
      </w:r>
      <w:r>
        <w:rPr>
          <w:rFonts w:hint="eastAsia" w:ascii="宋体" w:hAnsi="宋体" w:cs="宋体"/>
          <w:szCs w:val="21"/>
          <w:u w:val="single"/>
        </w:rPr>
        <w:t xml:space="preserve">            </w:t>
      </w:r>
      <w:r>
        <w:rPr>
          <w:rFonts w:hint="eastAsia" w:ascii="宋体" w:hAnsi="宋体" w:cs="宋体"/>
          <w:szCs w:val="21"/>
        </w:rPr>
        <w:t>元整 。</w:t>
      </w:r>
    </w:p>
    <w:p>
      <w:pPr>
        <w:widowControl/>
        <w:ind w:firstLine="440" w:firstLineChars="200"/>
        <w:rPr>
          <w:rFonts w:ascii="等线" w:hAnsi="等线" w:cs="宋体"/>
          <w:kern w:val="0"/>
          <w:sz w:val="22"/>
          <w:szCs w:val="22"/>
        </w:rPr>
      </w:pPr>
    </w:p>
    <w:p>
      <w:pPr>
        <w:widowControl/>
        <w:ind w:firstLine="420" w:firstLineChars="200"/>
        <w:rPr>
          <w:rFonts w:ascii="宋体" w:hAnsi="宋体"/>
          <w:szCs w:val="21"/>
        </w:rPr>
      </w:pPr>
      <w:r>
        <w:rPr>
          <w:rFonts w:hint="eastAsia" w:ascii="宋体" w:hAnsi="宋体"/>
          <w:szCs w:val="21"/>
        </w:rPr>
        <w:t>三、甲方向乙方支付广告费的付费时间如下：</w:t>
      </w:r>
    </w:p>
    <w:p>
      <w:pPr>
        <w:widowControl/>
        <w:ind w:left="420" w:leftChars="200"/>
        <w:jc w:val="left"/>
        <w:rPr>
          <w:rFonts w:ascii="宋体" w:hAnsi="宋体"/>
          <w:szCs w:val="21"/>
        </w:rPr>
      </w:pPr>
      <w:r>
        <w:rPr>
          <w:rFonts w:hint="eastAsia" w:ascii="宋体" w:hAnsi="宋体"/>
          <w:szCs w:val="21"/>
        </w:rPr>
        <w:t>1.甲方应在合同签订，</w:t>
      </w:r>
      <w:r>
        <w:rPr>
          <w:rFonts w:hint="eastAsia" w:ascii="仿宋" w:hAnsi="仿宋" w:eastAsia="仿宋"/>
          <w:color w:val="000000"/>
          <w:sz w:val="28"/>
          <w:szCs w:val="28"/>
          <w:lang w:eastAsia="zh-Hans"/>
        </w:rPr>
        <w:t>乙方向甲方开具等额增值税专用发票</w:t>
      </w:r>
      <w:r>
        <w:rPr>
          <w:rFonts w:hint="eastAsia" w:ascii="宋体" w:hAnsi="宋体"/>
          <w:szCs w:val="21"/>
        </w:rPr>
        <w:t>七个工作日内支付全额广告制作费及广告发布费，合共</w:t>
      </w:r>
      <w:r>
        <w:rPr>
          <w:rFonts w:hint="eastAsia" w:ascii="宋体" w:hAnsi="宋体" w:cs="宋体"/>
          <w:szCs w:val="21"/>
          <w:u w:val="single"/>
        </w:rPr>
        <w:t xml:space="preserve">             </w:t>
      </w:r>
      <w:r>
        <w:rPr>
          <w:rFonts w:hint="eastAsia" w:ascii="宋体" w:hAnsi="宋体"/>
          <w:szCs w:val="21"/>
        </w:rPr>
        <w:t>元</w:t>
      </w:r>
      <w:r>
        <w:rPr>
          <w:rFonts w:ascii="宋体" w:hAnsi="宋体"/>
          <w:szCs w:val="21"/>
        </w:rPr>
        <w:t>整</w:t>
      </w:r>
      <w:r>
        <w:rPr>
          <w:rFonts w:hint="eastAsia" w:ascii="宋体" w:hAnsi="宋体"/>
          <w:szCs w:val="21"/>
        </w:rPr>
        <w:t>。</w:t>
      </w:r>
      <w:r>
        <w:rPr>
          <w:szCs w:val="21"/>
        </w:rPr>
        <w:t>（说明：如未能在此期内支付金额，线路车位将不作保留）。</w:t>
      </w:r>
    </w:p>
    <w:p>
      <w:pPr>
        <w:ind w:firstLine="420" w:firstLineChars="200"/>
        <w:jc w:val="left"/>
        <w:rPr>
          <w:rFonts w:ascii="宋体" w:hAnsi="宋体"/>
          <w:szCs w:val="21"/>
        </w:rPr>
      </w:pPr>
      <w:r>
        <w:rPr>
          <w:rFonts w:hint="eastAsia" w:ascii="宋体" w:hAnsi="宋体"/>
          <w:szCs w:val="21"/>
        </w:rPr>
        <w:t>2.支付前，乙方应向甲方提供甲方付款同等金额之相应发票。</w:t>
      </w:r>
    </w:p>
    <w:p>
      <w:pPr>
        <w:ind w:firstLine="420" w:firstLineChars="200"/>
        <w:rPr>
          <w:rFonts w:ascii="宋体" w:hAnsi="宋体"/>
          <w:szCs w:val="21"/>
        </w:rPr>
      </w:pPr>
      <w:r>
        <w:rPr>
          <w:rFonts w:hint="eastAsia" w:ascii="宋体" w:hAnsi="宋体"/>
          <w:szCs w:val="21"/>
        </w:rPr>
        <w:t>四、广告画面要求</w:t>
      </w:r>
    </w:p>
    <w:p>
      <w:pPr>
        <w:ind w:firstLine="420" w:firstLineChars="200"/>
        <w:rPr>
          <w:rFonts w:ascii="宋体" w:hAnsi="宋体"/>
          <w:szCs w:val="21"/>
        </w:rPr>
      </w:pPr>
      <w:r>
        <w:rPr>
          <w:rFonts w:hint="eastAsia" w:ascii="宋体" w:hAnsi="宋体"/>
          <w:szCs w:val="21"/>
        </w:rPr>
        <w:t>1.发布</w:t>
      </w:r>
      <w:r>
        <w:rPr>
          <w:rFonts w:hint="eastAsia" w:ascii="宋体" w:hAnsi="宋体"/>
          <w:szCs w:val="21"/>
          <w:lang w:val="fr-FR"/>
        </w:rPr>
        <w:t>的广告画面必须符合《中华人民共和国广告法》及相关条例，甲方按乙方要求提供广告发布所需资料，所有资料需加盖甲方单位及广告主的公司公章,</w:t>
      </w:r>
      <w:r>
        <w:rPr>
          <w:rFonts w:hint="eastAsia" w:ascii="宋体" w:hAnsi="宋体"/>
          <w:szCs w:val="21"/>
        </w:rPr>
        <w:t xml:space="preserve"> 甲方</w:t>
      </w:r>
      <w:r>
        <w:rPr>
          <w:rFonts w:hint="eastAsia" w:ascii="宋体" w:hAnsi="宋体"/>
          <w:szCs w:val="21"/>
          <w:lang w:val="fr-FR"/>
        </w:rPr>
        <w:t>及广告主</w:t>
      </w:r>
      <w:r>
        <w:rPr>
          <w:rFonts w:hint="eastAsia" w:ascii="宋体" w:hAnsi="宋体"/>
          <w:szCs w:val="21"/>
        </w:rPr>
        <w:t>应对其内容的真实性、合法性负责。如因甲方提供了虚假、伪造的证明材料，或因广告画面与广告法相违背，出现被政府部门查处，本合同即时无条件终止，及已收取的费用不作退回外，甲方还需承担相关的法律责任及经济责任。</w:t>
      </w:r>
    </w:p>
    <w:p>
      <w:pPr>
        <w:ind w:firstLine="420" w:firstLineChars="200"/>
        <w:rPr>
          <w:rFonts w:ascii="宋体" w:hAnsi="宋体"/>
          <w:szCs w:val="21"/>
        </w:rPr>
      </w:pPr>
      <w:r>
        <w:rPr>
          <w:rFonts w:hint="eastAsia" w:ascii="宋体" w:hAnsi="宋体"/>
          <w:szCs w:val="21"/>
        </w:rPr>
        <w:t>2.广告画面无论甲方提供或乙方设计，均须由甲方签名盖章确认，并按确认稿喷制。甲方对内容和表现形式等的确认，不构成乙方对内容和表现形式等的承担责任的免除。</w:t>
      </w:r>
    </w:p>
    <w:p>
      <w:pPr>
        <w:ind w:left="420" w:leftChars="200"/>
        <w:jc w:val="left"/>
        <w:rPr>
          <w:rFonts w:ascii="宋体" w:hAnsi="宋体"/>
          <w:szCs w:val="21"/>
        </w:rPr>
      </w:pPr>
      <w:r>
        <w:rPr>
          <w:rFonts w:hint="eastAsia" w:ascii="宋体" w:hAnsi="宋体"/>
          <w:szCs w:val="21"/>
        </w:rPr>
        <w:t>五、违约责任</w:t>
      </w:r>
    </w:p>
    <w:p>
      <w:pPr>
        <w:ind w:firstLine="420" w:firstLineChars="200"/>
        <w:jc w:val="left"/>
        <w:rPr>
          <w:rFonts w:ascii="宋体" w:hAnsi="宋体"/>
          <w:szCs w:val="21"/>
        </w:rPr>
      </w:pPr>
      <w:r>
        <w:rPr>
          <w:rFonts w:hint="eastAsia" w:ascii="宋体" w:hAnsi="宋体"/>
          <w:szCs w:val="21"/>
        </w:rPr>
        <w:t>1.如甲方未能在本合同第三条所约定日期支付第一期款项，</w:t>
      </w:r>
      <w:r>
        <w:rPr>
          <w:rFonts w:hint="eastAsia" w:ascii="宋体" w:hAnsi="宋体"/>
          <w:kern w:val="0"/>
          <w:szCs w:val="21"/>
          <w:lang w:val="zh-CN"/>
        </w:rPr>
        <w:t>合同自动作废</w:t>
      </w:r>
      <w:r>
        <w:rPr>
          <w:rFonts w:hint="eastAsia" w:ascii="宋体" w:hAnsi="宋体"/>
          <w:szCs w:val="21"/>
        </w:rPr>
        <w:t>。</w:t>
      </w:r>
    </w:p>
    <w:p>
      <w:pPr>
        <w:ind w:firstLine="420" w:firstLineChars="200"/>
        <w:jc w:val="left"/>
        <w:rPr>
          <w:rFonts w:ascii="宋体" w:hAnsi="宋体"/>
          <w:szCs w:val="21"/>
        </w:rPr>
      </w:pPr>
      <w:r>
        <w:rPr>
          <w:rFonts w:hint="eastAsia" w:ascii="宋体" w:hAnsi="宋体"/>
          <w:szCs w:val="21"/>
        </w:rPr>
        <w:t>2.甲方如在广告发布期内未按期支付余款，</w:t>
      </w:r>
      <w:r>
        <w:rPr>
          <w:rFonts w:hint="eastAsia" w:ascii="宋体" w:hAnsi="宋体"/>
          <w:kern w:val="0"/>
          <w:szCs w:val="21"/>
          <w:lang w:val="zh-CN"/>
        </w:rPr>
        <w:t>除须补交外，每逾期一日，还须按当期应付未付款项的</w:t>
      </w:r>
      <w:r>
        <w:rPr>
          <w:rFonts w:hint="eastAsia" w:ascii="宋体" w:hAnsi="宋体"/>
          <w:kern w:val="0"/>
          <w:szCs w:val="21"/>
        </w:rPr>
        <w:t>万分之一</w:t>
      </w:r>
      <w:r>
        <w:rPr>
          <w:rFonts w:hint="eastAsia" w:ascii="宋体" w:hAnsi="宋体"/>
          <w:kern w:val="0"/>
          <w:szCs w:val="21"/>
          <w:lang w:val="zh-CN"/>
        </w:rPr>
        <w:t>向乙方支付滞纳金；</w:t>
      </w:r>
      <w:r>
        <w:rPr>
          <w:rFonts w:hint="eastAsia"/>
          <w:szCs w:val="21"/>
        </w:rPr>
        <w:t>如甲方逾期十天仍未能支付，可视为甲方违约并自动放弃租用上述广告媒体，乙方有权单方解除本合同，并于适当的时候覆盖本合同约定的广告车辆或拆下有关广告画面，并同时向甲方追讨因甲方违约而对乙方所造成的直接和间接经济损失，此损失包括但不限于</w:t>
      </w:r>
      <w:r>
        <w:rPr>
          <w:rFonts w:hint="eastAsia" w:ascii="宋体" w:hAnsi="宋体"/>
          <w:szCs w:val="21"/>
        </w:rPr>
        <w:t>a.合同生效后的</w:t>
      </w:r>
      <w:r>
        <w:rPr>
          <w:rFonts w:hint="eastAsia"/>
          <w:szCs w:val="21"/>
        </w:rPr>
        <w:t>甲方</w:t>
      </w:r>
      <w:r>
        <w:rPr>
          <w:rFonts w:hint="eastAsia" w:ascii="宋体" w:hAnsi="宋体"/>
          <w:kern w:val="0"/>
          <w:szCs w:val="21"/>
          <w:lang w:val="zh-CN"/>
        </w:rPr>
        <w:t>应付未付款项及相当于应付未付款项金额的</w:t>
      </w:r>
      <w:r>
        <w:rPr>
          <w:rFonts w:ascii="宋体" w:hAnsi="宋体"/>
          <w:kern w:val="0"/>
          <w:szCs w:val="21"/>
          <w:lang w:val="zh-CN"/>
        </w:rPr>
        <w:t>5</w:t>
      </w:r>
      <w:r>
        <w:rPr>
          <w:rFonts w:hint="eastAsia" w:ascii="宋体" w:hAnsi="宋体"/>
          <w:kern w:val="0"/>
          <w:szCs w:val="21"/>
          <w:lang w:val="zh-CN"/>
        </w:rPr>
        <w:t>‰的滞纳金；</w:t>
      </w:r>
      <w:r>
        <w:rPr>
          <w:rFonts w:hint="eastAsia" w:ascii="宋体" w:hAnsi="宋体"/>
          <w:szCs w:val="21"/>
        </w:rPr>
        <w:t>b.甲方延期支付款项之自应付日期到实付日期的银行同期活期存款利息；c.相当于合同金额10%的违约金。</w:t>
      </w:r>
    </w:p>
    <w:p>
      <w:pPr>
        <w:ind w:left="840" w:leftChars="200" w:hanging="420"/>
        <w:jc w:val="left"/>
        <w:rPr>
          <w:rFonts w:ascii="宋体" w:hAnsi="宋体"/>
          <w:szCs w:val="21"/>
        </w:rPr>
      </w:pPr>
      <w:r>
        <w:rPr>
          <w:rFonts w:hint="eastAsia" w:ascii="宋体" w:hAnsi="宋体"/>
          <w:szCs w:val="21"/>
        </w:rPr>
        <w:t>3.正式发布期间开始后，乙方不得无故单方减少广告车辆的发布数量、天数，否则可视为乙方违约，甲方有权提前提出终止合同，乙方应按比例（以收到甲方提前终止合同的书面通知天数为时间点计算）退还已付而未发布之费用予甲方，并向甲方支付相当于合同金额10%的违约金。</w:t>
      </w:r>
    </w:p>
    <w:p>
      <w:pPr>
        <w:ind w:firstLine="420" w:firstLineChars="200"/>
        <w:jc w:val="left"/>
        <w:rPr>
          <w:rFonts w:ascii="宋体" w:hAnsi="宋体"/>
          <w:szCs w:val="21"/>
        </w:rPr>
      </w:pPr>
      <w:r>
        <w:rPr>
          <w:rFonts w:hint="eastAsia" w:ascii="宋体" w:hAnsi="宋体"/>
          <w:szCs w:val="21"/>
        </w:rPr>
        <w:t>4.本合同签订超过十五天，如甲方单方（甲方服务的客户原因不能发布除外）提出取消合同，视甲方为单方违约，甲方应按合同总额的10%向乙方支付媒体占用费。</w:t>
      </w:r>
    </w:p>
    <w:p>
      <w:pPr>
        <w:tabs>
          <w:tab w:val="left" w:pos="900"/>
          <w:tab w:val="left" w:pos="4228"/>
        </w:tabs>
        <w:ind w:left="420" w:leftChars="200"/>
        <w:rPr>
          <w:rFonts w:ascii="宋体" w:hAnsi="宋体"/>
          <w:szCs w:val="21"/>
        </w:rPr>
      </w:pPr>
      <w:r>
        <w:rPr>
          <w:rFonts w:hint="eastAsia" w:ascii="宋体" w:hAnsi="宋体"/>
          <w:szCs w:val="21"/>
        </w:rPr>
        <w:t>六、乙方根据甲方确认的样稿和对色小样进行广告制作。</w:t>
      </w:r>
    </w:p>
    <w:p>
      <w:pPr>
        <w:tabs>
          <w:tab w:val="left" w:pos="4228"/>
        </w:tabs>
        <w:spacing w:line="320" w:lineRule="exact"/>
        <w:ind w:firstLine="420" w:firstLineChars="200"/>
        <w:rPr>
          <w:rFonts w:ascii="宋体" w:hAnsi="宋体"/>
          <w:szCs w:val="21"/>
        </w:rPr>
      </w:pPr>
      <w:r>
        <w:rPr>
          <w:rFonts w:hint="eastAsia" w:ascii="宋体" w:hAnsi="宋体"/>
          <w:szCs w:val="21"/>
        </w:rPr>
        <w:t>七、广告制作结束后乙方以本合同甲方确认的电子邮件地址或微信、QQ等网络通讯工具向甲方发送揭布通知书电子版（其中包括提供广告车辆电子照片）。乙方发出揭布通知书电子版视为甲方已收到上刊报告并确认甲方车身广告正式发布，发布期以上刊报告日期为准。乙方将不再发出书面的确认函。甲方需提供有效及合法的电子邮箱，确保乙方提供之广告上刊报告的电子送达，因甲方所提供之电子邮箱有误造成上刊报告发送失败，乙方对此将不承担责任。</w:t>
      </w:r>
    </w:p>
    <w:p>
      <w:pPr>
        <w:tabs>
          <w:tab w:val="left" w:pos="4228"/>
        </w:tabs>
        <w:spacing w:line="320" w:lineRule="exact"/>
        <w:ind w:left="420" w:leftChars="200" w:firstLine="105" w:firstLineChars="50"/>
        <w:rPr>
          <w:rFonts w:ascii="宋体" w:hAnsi="宋体"/>
          <w:szCs w:val="21"/>
        </w:rPr>
      </w:pPr>
      <w:r>
        <w:rPr>
          <w:rFonts w:hint="eastAsia"/>
          <w:szCs w:val="21"/>
        </w:rPr>
        <w:t>八</w:t>
      </w:r>
      <w:r>
        <w:rPr>
          <w:rFonts w:hint="eastAsia" w:ascii="宋体" w:hAnsi="宋体"/>
          <w:szCs w:val="21"/>
        </w:rPr>
        <w:t>、广告发布期间如出现：1）如因事故或车辆进厂维修造成广告临时停刊，乙方须将发布时间顺延相应天数给甲方；2）广告车辆因政府政策更改、公交公司营运需要或其他不可抗力因素，包括但不限于：自然灾害、交通阻塞等的影响，致使广告车辆行驶线路或停靠站亭位置调整，乙方在接到相关部门所发出的调整通知后，应以书面形式告知甲方，若必需停止发布或暂停发布广告的，乙方应退回已收取甲方但未完成发布期的发布费给甲方；3）若遇广告车辆报废或中修，合同约定的发布时长不超九个月的，乙方在本合同约定的其他广告车辆上顺延报废（或中修）广告车辆的未完成发布时间，或退回已收取甲方但未完成发布期的发布费给甲方；广告发布时长超九个月的，乙方退回已收取甲方但未完成发布期的发布费给甲方。</w:t>
      </w:r>
    </w:p>
    <w:p>
      <w:pPr>
        <w:numPr>
          <w:ilvl w:val="0"/>
          <w:numId w:val="4"/>
        </w:numPr>
        <w:ind w:left="420" w:leftChars="200"/>
        <w:jc w:val="left"/>
        <w:rPr>
          <w:szCs w:val="21"/>
        </w:rPr>
      </w:pPr>
      <w:r>
        <w:rPr>
          <w:rFonts w:hint="eastAsia"/>
          <w:szCs w:val="21"/>
        </w:rPr>
        <w:t>甲、乙双方一致确认，由于公交车喷绘广告的特殊性，广告服务费不论在何种情况下，一经上</w:t>
      </w:r>
    </w:p>
    <w:p>
      <w:pPr>
        <w:jc w:val="left"/>
        <w:rPr>
          <w:rFonts w:ascii="宋体" w:hAnsi="宋体"/>
          <w:szCs w:val="21"/>
        </w:rPr>
      </w:pPr>
      <w:r>
        <w:rPr>
          <w:rFonts w:hint="eastAsia"/>
          <w:szCs w:val="21"/>
        </w:rPr>
        <w:t>画制作完成，概不在退款列。</w:t>
      </w:r>
    </w:p>
    <w:p>
      <w:pPr>
        <w:numPr>
          <w:ilvl w:val="0"/>
          <w:numId w:val="4"/>
        </w:numPr>
        <w:ind w:left="420" w:leftChars="200"/>
        <w:jc w:val="left"/>
        <w:rPr>
          <w:rFonts w:ascii="宋体" w:hAnsi="宋体"/>
          <w:szCs w:val="21"/>
        </w:rPr>
      </w:pPr>
      <w:r>
        <w:rPr>
          <w:rFonts w:hint="eastAsia" w:ascii="宋体" w:hAnsi="宋体"/>
          <w:szCs w:val="21"/>
        </w:rPr>
        <w:t>合同期限内，如因公共汽车公司营运车辆行驶线路调整或道路站亭调整及政策命令以及其它不</w:t>
      </w:r>
    </w:p>
    <w:p>
      <w:pPr>
        <w:jc w:val="left"/>
        <w:rPr>
          <w:rFonts w:ascii="宋体" w:hAnsi="宋体"/>
          <w:szCs w:val="21"/>
        </w:rPr>
      </w:pPr>
      <w:r>
        <w:rPr>
          <w:rFonts w:hint="eastAsia" w:ascii="宋体" w:hAnsi="宋体"/>
          <w:szCs w:val="21"/>
        </w:rPr>
        <w:t>可抗力因素致使广告车辆发布位置调整，乙方需书面通知甲方，甲方须服从，乙方无须做任何补偿。</w:t>
      </w:r>
    </w:p>
    <w:p>
      <w:pPr>
        <w:numPr>
          <w:ilvl w:val="0"/>
          <w:numId w:val="4"/>
        </w:numPr>
        <w:ind w:left="420" w:leftChars="200"/>
        <w:jc w:val="left"/>
        <w:rPr>
          <w:rFonts w:ascii="宋体" w:hAnsi="宋体"/>
          <w:szCs w:val="21"/>
        </w:rPr>
      </w:pPr>
      <w:r>
        <w:rPr>
          <w:rFonts w:hint="eastAsia" w:ascii="宋体" w:hAnsi="宋体"/>
          <w:szCs w:val="21"/>
        </w:rPr>
        <w:t>如因本合同引起的任何争议，双方应通过友好协商方式解决。如不能解决，任何一方可向乙</w:t>
      </w:r>
    </w:p>
    <w:p>
      <w:pPr>
        <w:jc w:val="left"/>
        <w:rPr>
          <w:rFonts w:ascii="宋体" w:hAnsi="宋体"/>
          <w:szCs w:val="21"/>
        </w:rPr>
      </w:pPr>
      <w:r>
        <w:rPr>
          <w:rFonts w:hint="eastAsia" w:ascii="宋体" w:hAnsi="宋体"/>
          <w:szCs w:val="21"/>
        </w:rPr>
        <w:t>方所在地人民法院提起诉讼。</w:t>
      </w:r>
    </w:p>
    <w:p>
      <w:pPr>
        <w:numPr>
          <w:ilvl w:val="0"/>
          <w:numId w:val="4"/>
        </w:numPr>
        <w:ind w:left="420" w:leftChars="200"/>
        <w:jc w:val="left"/>
        <w:rPr>
          <w:rFonts w:ascii="宋体" w:hAnsi="宋体"/>
          <w:szCs w:val="21"/>
        </w:rPr>
      </w:pPr>
      <w:r>
        <w:rPr>
          <w:rFonts w:hint="eastAsia" w:ascii="宋体" w:hAnsi="宋体"/>
          <w:szCs w:val="21"/>
        </w:rPr>
        <w:t>本合同壹式贰份自签订之日起生效，同具法律效力，如没有出现第四条或第五条中第1小点</w:t>
      </w:r>
    </w:p>
    <w:p>
      <w:pPr>
        <w:jc w:val="left"/>
        <w:rPr>
          <w:rFonts w:ascii="宋体" w:hAnsi="宋体"/>
          <w:szCs w:val="21"/>
        </w:rPr>
      </w:pPr>
      <w:r>
        <w:rPr>
          <w:rFonts w:hint="eastAsia" w:ascii="宋体" w:hAnsi="宋体"/>
          <w:szCs w:val="21"/>
        </w:rPr>
        <w:t>或第2小点的情况，合同则至全部广告发布期结束之日失效。</w:t>
      </w:r>
    </w:p>
    <w:p>
      <w:pPr>
        <w:ind w:firstLine="420" w:firstLineChars="200"/>
        <w:rPr>
          <w:bCs/>
          <w:szCs w:val="21"/>
        </w:rPr>
      </w:pPr>
      <w:r>
        <w:rPr>
          <w:rFonts w:hint="eastAsia"/>
          <w:bCs/>
          <w:szCs w:val="21"/>
        </w:rPr>
        <w:t>十三、双方业务人员交换有关资料所使用的电邮地址均为双方文件传达的有效地址。</w:t>
      </w:r>
    </w:p>
    <w:p>
      <w:pPr>
        <w:tabs>
          <w:tab w:val="left" w:pos="2710"/>
        </w:tabs>
        <w:spacing w:line="280" w:lineRule="exact"/>
        <w:rPr>
          <w:bCs/>
          <w:szCs w:val="21"/>
        </w:rPr>
      </w:pPr>
      <w:r>
        <w:rPr>
          <w:rFonts w:hint="eastAsia"/>
          <w:bCs/>
          <w:szCs w:val="21"/>
        </w:rPr>
        <w:tab/>
      </w:r>
    </w:p>
    <w:p>
      <w:pPr>
        <w:rPr>
          <w:rFonts w:ascii="宋体" w:hAnsi="宋体"/>
          <w:b/>
          <w:szCs w:val="21"/>
        </w:rPr>
      </w:pPr>
      <w:r>
        <w:rPr>
          <w:rFonts w:hint="eastAsia" w:ascii="宋体" w:hAnsi="宋体"/>
          <w:b/>
          <w:szCs w:val="21"/>
        </w:rPr>
        <w:t xml:space="preserve"> </w:t>
      </w:r>
    </w:p>
    <w:p>
      <w:pPr>
        <w:widowControl/>
        <w:ind w:firstLine="630" w:firstLineChars="300"/>
        <w:jc w:val="left"/>
        <w:rPr>
          <w:rFonts w:ascii="宋体" w:hAnsi="宋体"/>
          <w:bCs/>
          <w:szCs w:val="21"/>
        </w:rPr>
      </w:pPr>
      <w:r>
        <w:rPr>
          <w:rFonts w:hint="eastAsia" w:ascii="宋体" w:hAnsi="宋体"/>
          <w:bCs/>
          <w:szCs w:val="21"/>
        </w:rPr>
        <w:t>甲方：</w:t>
      </w:r>
      <w:r>
        <w:rPr>
          <w:rFonts w:ascii="宋体" w:hAnsi="宋体" w:cs="宋体"/>
          <w:kern w:val="0"/>
          <w:sz w:val="24"/>
        </w:rPr>
        <w:t xml:space="preserve"> </w:t>
      </w:r>
      <w:r>
        <w:rPr>
          <w:rFonts w:hint="eastAsia" w:ascii="宋体" w:hAnsi="宋体"/>
          <w:bCs/>
          <w:szCs w:val="21"/>
        </w:rPr>
        <w:t xml:space="preserve">                                           乙方：</w:t>
      </w:r>
    </w:p>
    <w:p>
      <w:pPr>
        <w:spacing w:line="440" w:lineRule="atLeast"/>
        <w:ind w:left="420" w:leftChars="200" w:firstLine="210" w:firstLineChars="100"/>
        <w:jc w:val="left"/>
        <w:rPr>
          <w:rFonts w:ascii="宋体" w:hAnsi="宋体"/>
          <w:bCs/>
          <w:szCs w:val="21"/>
        </w:rPr>
      </w:pPr>
      <w:r>
        <w:rPr>
          <w:rFonts w:hint="eastAsia" w:ascii="宋体" w:hAnsi="宋体"/>
          <w:bCs/>
          <w:szCs w:val="21"/>
        </w:rPr>
        <w:t>负责人：                                          负责人：</w:t>
      </w:r>
    </w:p>
    <w:p>
      <w:pPr>
        <w:tabs>
          <w:tab w:val="left" w:pos="6275"/>
        </w:tabs>
        <w:spacing w:line="440" w:lineRule="atLeast"/>
        <w:ind w:firstLine="630" w:firstLineChars="300"/>
        <w:rPr>
          <w:rFonts w:ascii="宋体" w:hAnsi="宋体"/>
          <w:bCs/>
          <w:szCs w:val="21"/>
        </w:rPr>
      </w:pPr>
      <w:r>
        <w:rPr>
          <w:rFonts w:hint="eastAsia" w:ascii="宋体" w:hAnsi="宋体"/>
          <w:bCs/>
          <w:szCs w:val="21"/>
        </w:rPr>
        <w:t>委托代理人：</w:t>
      </w:r>
      <w:r>
        <w:rPr>
          <w:rFonts w:ascii="宋体" w:hAnsi="宋体"/>
          <w:bCs/>
          <w:szCs w:val="21"/>
        </w:rPr>
        <w:t xml:space="preserve">                      </w:t>
      </w:r>
      <w:r>
        <w:rPr>
          <w:rFonts w:hint="eastAsia" w:ascii="宋体" w:hAnsi="宋体"/>
          <w:bCs/>
          <w:szCs w:val="21"/>
        </w:rPr>
        <w:t xml:space="preserve">                委托代理人：</w:t>
      </w:r>
    </w:p>
    <w:p>
      <w:pPr>
        <w:tabs>
          <w:tab w:val="left" w:pos="6275"/>
        </w:tabs>
        <w:spacing w:line="440" w:lineRule="atLeast"/>
        <w:ind w:firstLine="630" w:firstLineChars="300"/>
        <w:rPr>
          <w:rFonts w:ascii="宋体" w:hAnsi="宋体"/>
          <w:bCs/>
          <w:szCs w:val="21"/>
        </w:rPr>
      </w:pPr>
      <w:r>
        <w:rPr>
          <w:rFonts w:hint="eastAsia" w:ascii="宋体" w:hAnsi="宋体"/>
          <w:bCs/>
          <w:szCs w:val="21"/>
        </w:rPr>
        <w:t>邮箱：                                            邮箱：</w:t>
      </w:r>
    </w:p>
    <w:p>
      <w:pPr>
        <w:tabs>
          <w:tab w:val="left" w:pos="6275"/>
        </w:tabs>
        <w:spacing w:line="440" w:lineRule="atLeast"/>
        <w:ind w:firstLine="630" w:firstLineChars="300"/>
        <w:rPr>
          <w:rFonts w:ascii="宋体" w:hAnsi="宋体"/>
          <w:bCs/>
          <w:szCs w:val="21"/>
        </w:rPr>
      </w:pPr>
      <w:r>
        <w:rPr>
          <w:rFonts w:hint="eastAsia" w:ascii="宋体" w:hAnsi="宋体"/>
          <w:bCs/>
          <w:szCs w:val="21"/>
        </w:rPr>
        <w:t>日期 ：                                           日期 ：</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附件1：廉政责任书</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甲方：                   </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乙方：                   </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为加强廉政建设，规范合作过程中双方的各项活动，防止发生各种谋取不正当利益的违法违纪行为，保护国家、集体和当事人的合法权益，根据国家有关法律法规和廉政建设责任制规定，特订立本廉政责任书。</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第一条  甲乙双方的责任 </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(一)应严格遵守国家有关法律、法规，相关政策，以及廉政建设的各项规定。</w:t>
      </w:r>
    </w:p>
    <w:p>
      <w:pPr>
        <w:spacing w:line="520" w:lineRule="exact"/>
        <w:rPr>
          <w:rFonts w:ascii="仿宋" w:hAnsi="仿宋" w:eastAsia="仿宋"/>
          <w:color w:val="000000"/>
          <w:sz w:val="28"/>
          <w:szCs w:val="28"/>
        </w:rPr>
      </w:pPr>
      <w:r>
        <w:rPr>
          <w:rFonts w:hint="eastAsia" w:ascii="仿宋" w:hAnsi="仿宋" w:eastAsia="仿宋"/>
          <w:color w:val="000000"/>
          <w:sz w:val="28"/>
          <w:szCs w:val="28"/>
        </w:rPr>
        <w:t>(二)严格执行合同文件，自觉按合同办事。</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(三)业务活动必须坚持公开、公平、公正、诚信、透明的原则(除法律法规另有规定者外)，不得为获取不正当的利益，损害国家、集体和对方利益。</w:t>
      </w:r>
    </w:p>
    <w:p>
      <w:pPr>
        <w:spacing w:line="520" w:lineRule="exact"/>
        <w:rPr>
          <w:rFonts w:ascii="仿宋" w:hAnsi="仿宋" w:eastAsia="仿宋"/>
          <w:color w:val="000000"/>
          <w:sz w:val="28"/>
          <w:szCs w:val="28"/>
        </w:rPr>
      </w:pPr>
      <w:r>
        <w:rPr>
          <w:rFonts w:hint="eastAsia" w:ascii="仿宋" w:hAnsi="仿宋" w:eastAsia="仿宋"/>
          <w:color w:val="000000"/>
          <w:sz w:val="28"/>
          <w:szCs w:val="28"/>
        </w:rPr>
        <w:t>(四)发现对方在业务活动中有违规、违纪、违法行为的，应及时提醒对方，情节严重的，应向其上级主管部门或纪检监察、司法等有关机关举报。</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第二条  甲方的责任</w:t>
      </w:r>
    </w:p>
    <w:p>
      <w:pPr>
        <w:spacing w:line="520" w:lineRule="exact"/>
        <w:rPr>
          <w:rFonts w:ascii="仿宋" w:hAnsi="仿宋" w:eastAsia="仿宋"/>
          <w:color w:val="000000"/>
          <w:sz w:val="28"/>
          <w:szCs w:val="28"/>
        </w:rPr>
      </w:pPr>
      <w:r>
        <w:rPr>
          <w:rFonts w:hint="eastAsia" w:ascii="仿宋" w:hAnsi="仿宋" w:eastAsia="仿宋"/>
          <w:color w:val="000000"/>
          <w:sz w:val="28"/>
          <w:szCs w:val="28"/>
        </w:rPr>
        <w:t>甲方的领导和工作人员，在合作的事前、事中、事后应遵守以下规定：</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(一)不准向乙方和相关单位索要或接受回扣、礼金、有价证券、贵重物品和好处费、感谢费等。</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(二)不准在乙方和相关单位报销任何应由甲方或个人支付的费用。        </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(三)不准要求、暗示和接受乙方和相关单位为个人装修住房、婚丧嫁娶、配偶子女的工作安排以及出国(境)旅游等提供方便。</w:t>
      </w:r>
    </w:p>
    <w:p>
      <w:pPr>
        <w:spacing w:line="520" w:lineRule="exact"/>
        <w:rPr>
          <w:rFonts w:ascii="仿宋" w:hAnsi="仿宋" w:eastAsia="仿宋"/>
          <w:color w:val="000000"/>
          <w:sz w:val="28"/>
          <w:szCs w:val="28"/>
        </w:rPr>
      </w:pPr>
      <w:r>
        <w:rPr>
          <w:rFonts w:hint="eastAsia" w:ascii="仿宋" w:hAnsi="仿宋" w:eastAsia="仿宋"/>
          <w:color w:val="000000"/>
          <w:sz w:val="28"/>
          <w:szCs w:val="28"/>
        </w:rPr>
        <w:t>(四)不准参加有可能影响公正执行公务的乙方和相关单位的宴请、健身、娱乐等活动。</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第三条 乙方的责任</w:t>
      </w:r>
    </w:p>
    <w:p>
      <w:pPr>
        <w:spacing w:line="520" w:lineRule="exact"/>
        <w:rPr>
          <w:rFonts w:ascii="仿宋" w:hAnsi="仿宋" w:eastAsia="仿宋"/>
          <w:color w:val="000000"/>
          <w:sz w:val="28"/>
          <w:szCs w:val="28"/>
        </w:rPr>
      </w:pPr>
      <w:r>
        <w:rPr>
          <w:rFonts w:hint="eastAsia" w:ascii="仿宋" w:hAnsi="仿宋" w:eastAsia="仿宋"/>
          <w:color w:val="000000"/>
          <w:sz w:val="28"/>
          <w:szCs w:val="28"/>
        </w:rPr>
        <w:t>应与甲方和相关单位保持正常的业务交往，按照有关法律法规和程序开展业务工作，认真履行相关职责，并遵守以下规定：</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(一)不准以任何理由向甲方、相关单位及其工作人索要、接受或赠送礼金、有价证券、贵重物品和回扣、好处费、感谢费等。</w:t>
      </w:r>
    </w:p>
    <w:p>
      <w:pPr>
        <w:spacing w:line="520" w:lineRule="exact"/>
        <w:rPr>
          <w:rFonts w:ascii="仿宋" w:hAnsi="仿宋" w:eastAsia="仿宋"/>
          <w:color w:val="000000"/>
          <w:sz w:val="28"/>
          <w:szCs w:val="28"/>
        </w:rPr>
      </w:pPr>
      <w:r>
        <w:rPr>
          <w:rFonts w:hint="eastAsia" w:ascii="仿宋" w:hAnsi="仿宋" w:eastAsia="仿宋"/>
          <w:color w:val="000000"/>
          <w:sz w:val="28"/>
          <w:szCs w:val="28"/>
        </w:rPr>
        <w:t>(二)不准以任何理由为甲方和相关单位报销应由对方或个人支付的费用。</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(三)不准接受或暗示为甲方、相关单位或个人装修住房、婚丧嫁娶、配偶子女的工作安排以及出国(境)、旅游等提供方便。</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(四)不准以任何理由为甲方、相关单位或个人组织有可能影响公正执行公务的宴请、健身、娱乐等活动。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第四条 违约责任   </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pacing w:line="520" w:lineRule="exact"/>
        <w:rPr>
          <w:rFonts w:ascii="仿宋" w:hAnsi="仿宋" w:eastAsia="仿宋"/>
          <w:color w:val="000000"/>
          <w:sz w:val="28"/>
          <w:szCs w:val="28"/>
        </w:rPr>
      </w:pPr>
      <w:r>
        <w:rPr>
          <w:rFonts w:hint="eastAsia" w:ascii="仿宋" w:hAnsi="仿宋" w:eastAsia="仿宋"/>
          <w:color w:val="000000"/>
          <w:sz w:val="28"/>
          <w:szCs w:val="28"/>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第五条 本责任书作为合作合同的附件，与其具有同等法律效力。经双方签署后立即生效。</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第六条 本责任书的有效期为双方签署之日起至双方履行完毕合同的所有权利义务止。</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第七条 本协议一式四份，甲方执二份，乙方执二份。</w:t>
      </w:r>
    </w:p>
    <w:p>
      <w:pPr>
        <w:spacing w:line="520" w:lineRule="exact"/>
        <w:rPr>
          <w:rFonts w:ascii="仿宋" w:hAnsi="仿宋" w:eastAsia="仿宋"/>
          <w:color w:val="000000"/>
          <w:sz w:val="28"/>
          <w:szCs w:val="28"/>
        </w:rPr>
      </w:pPr>
      <w:r>
        <w:rPr>
          <w:rFonts w:hint="eastAsia" w:ascii="仿宋" w:hAnsi="仿宋" w:eastAsia="仿宋"/>
          <w:color w:val="000000"/>
          <w:sz w:val="28"/>
          <w:szCs w:val="28"/>
        </w:rPr>
        <w:t>（以下无《廉政责任书》之正文）</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甲方单位：(盖章)                 乙方单位：(盖章)</w:t>
      </w:r>
    </w:p>
    <w:p>
      <w:pPr>
        <w:spacing w:line="520" w:lineRule="exact"/>
        <w:rPr>
          <w:rFonts w:ascii="仿宋" w:hAnsi="仿宋" w:eastAsia="仿宋"/>
          <w:color w:val="000000"/>
          <w:sz w:val="28"/>
          <w:szCs w:val="28"/>
        </w:rPr>
      </w:pPr>
      <w:r>
        <w:rPr>
          <w:rFonts w:hint="eastAsia" w:ascii="仿宋" w:hAnsi="仿宋" w:eastAsia="仿宋"/>
          <w:color w:val="000000"/>
          <w:sz w:val="28"/>
          <w:szCs w:val="28"/>
        </w:rPr>
        <w:t>法定代表人：                     法定代表人：</w:t>
      </w:r>
    </w:p>
    <w:p>
      <w:pPr>
        <w:spacing w:line="520" w:lineRule="exact"/>
        <w:rPr>
          <w:rFonts w:ascii="仿宋" w:hAnsi="仿宋" w:eastAsia="仿宋"/>
          <w:color w:val="000000"/>
          <w:sz w:val="28"/>
          <w:szCs w:val="28"/>
        </w:rPr>
      </w:pPr>
      <w:r>
        <w:rPr>
          <w:rFonts w:hint="eastAsia" w:ascii="仿宋" w:hAnsi="仿宋" w:eastAsia="仿宋"/>
          <w:color w:val="000000"/>
          <w:sz w:val="28"/>
          <w:szCs w:val="28"/>
        </w:rPr>
        <w:t>地址：                           地址：</w:t>
      </w:r>
    </w:p>
    <w:p>
      <w:pPr>
        <w:spacing w:line="520" w:lineRule="exact"/>
        <w:rPr>
          <w:rFonts w:ascii="仿宋" w:hAnsi="仿宋" w:eastAsia="仿宋"/>
          <w:color w:val="000000"/>
          <w:sz w:val="28"/>
          <w:szCs w:val="28"/>
        </w:rPr>
      </w:pPr>
      <w:r>
        <w:rPr>
          <w:rFonts w:hint="eastAsia" w:ascii="仿宋" w:hAnsi="仿宋" w:eastAsia="仿宋"/>
          <w:color w:val="000000"/>
          <w:sz w:val="28"/>
          <w:szCs w:val="28"/>
        </w:rPr>
        <w:t>电话：                           电话：</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 年  月  日                       年  月  日</w:t>
      </w:r>
    </w:p>
    <w:p>
      <w:pPr>
        <w:widowControl/>
        <w:spacing w:line="440" w:lineRule="exact"/>
        <w:rPr>
          <w:rFonts w:ascii="仿宋_GB2312" w:eastAsia="仿宋_GB2312"/>
          <w:b/>
          <w:sz w:val="28"/>
          <w:szCs w:val="28"/>
        </w:rPr>
      </w:pPr>
      <w:r>
        <w:rPr>
          <w:rFonts w:hint="eastAsia" w:ascii="仿宋_GB2312" w:eastAsia="仿宋_GB2312"/>
          <w:sz w:val="28"/>
          <w:szCs w:val="28"/>
        </w:rPr>
        <w:t xml:space="preserve">         </w:t>
      </w:r>
    </w:p>
    <w:p/>
    <w:p>
      <w:pPr>
        <w:pStyle w:val="3"/>
        <w:spacing w:line="240" w:lineRule="auto"/>
        <w:jc w:val="center"/>
      </w:pPr>
      <w:r>
        <w:rPr>
          <w:rFonts w:hint="eastAsia" w:ascii="仿宋_GB2312" w:hAnsi="宋体" w:eastAsia="仿宋_GB2312" w:cs="宋体"/>
        </w:rPr>
        <w:t>五、竞投文件格式（竞投人提交）</w:t>
      </w:r>
    </w:p>
    <w:p>
      <w:pPr>
        <w:rPr>
          <w:rFonts w:ascii="仿宋_GB2312" w:eastAsia="仿宋_GB2312"/>
          <w:sz w:val="24"/>
        </w:rPr>
      </w:pPr>
      <w:r>
        <w:rPr>
          <w:rFonts w:hint="eastAsia" w:ascii="仿宋_GB2312" w:eastAsia="仿宋_GB2312"/>
          <w:sz w:val="24"/>
        </w:rPr>
        <w:t xml:space="preserve">附件1：竞投文件封面  </w:t>
      </w:r>
    </w:p>
    <w:p>
      <w:pPr>
        <w:rPr>
          <w:sz w:val="72"/>
          <w:szCs w:val="72"/>
        </w:rPr>
      </w:pPr>
    </w:p>
    <w:p>
      <w:pPr>
        <w:jc w:val="center"/>
        <w:rPr>
          <w:rFonts w:ascii="仿宋_GB2312" w:eastAsia="仿宋_GB2312"/>
          <w:sz w:val="52"/>
          <w:szCs w:val="52"/>
          <w:u w:val="single"/>
        </w:rPr>
      </w:pPr>
      <w:r>
        <w:rPr>
          <w:rFonts w:hint="eastAsia" w:ascii="仿宋_GB2312" w:eastAsia="仿宋_GB2312"/>
          <w:b/>
          <w:sz w:val="52"/>
          <w:szCs w:val="52"/>
        </w:rPr>
        <w:t>城隽雅苑北区项目公交车身广告服务项目</w:t>
      </w:r>
    </w:p>
    <w:p>
      <w:pPr>
        <w:jc w:val="center"/>
        <w:rPr>
          <w:rFonts w:ascii="仿宋_GB2312" w:eastAsia="仿宋_GB2312"/>
          <w:b/>
          <w:sz w:val="90"/>
          <w:szCs w:val="90"/>
        </w:rPr>
      </w:pPr>
      <w:r>
        <w:rPr>
          <w:rFonts w:hint="eastAsia" w:ascii="仿宋_GB2312" w:eastAsia="仿宋_GB2312"/>
          <w:b/>
          <w:sz w:val="90"/>
          <w:szCs w:val="90"/>
        </w:rPr>
        <w:t>竞投文件</w:t>
      </w:r>
    </w:p>
    <w:p>
      <w:pPr>
        <w:jc w:val="center"/>
        <w:rPr>
          <w:rFonts w:ascii="仿宋_GB2312" w:eastAsia="仿宋_GB2312"/>
          <w:sz w:val="72"/>
          <w:szCs w:val="72"/>
        </w:rPr>
      </w:pPr>
    </w:p>
    <w:p>
      <w:pPr>
        <w:jc w:val="center"/>
        <w:rPr>
          <w:rFonts w:ascii="仿宋_GB2312" w:eastAsia="仿宋_GB2312"/>
          <w:sz w:val="72"/>
          <w:szCs w:val="72"/>
        </w:rPr>
      </w:pPr>
    </w:p>
    <w:p>
      <w:pPr>
        <w:jc w:val="center"/>
        <w:rPr>
          <w:rFonts w:ascii="仿宋_GB2312" w:eastAsia="仿宋_GB2312"/>
          <w:sz w:val="72"/>
          <w:szCs w:val="72"/>
        </w:rPr>
      </w:pPr>
    </w:p>
    <w:p>
      <w:pPr>
        <w:jc w:val="center"/>
        <w:rPr>
          <w:rFonts w:ascii="仿宋_GB2312" w:eastAsia="仿宋_GB2312"/>
          <w:sz w:val="72"/>
          <w:szCs w:val="72"/>
        </w:rPr>
      </w:pPr>
    </w:p>
    <w:p>
      <w:pPr>
        <w:ind w:firstLine="2560" w:firstLineChars="800"/>
        <w:rPr>
          <w:rFonts w:ascii="仿宋_GB2312" w:eastAsia="仿宋_GB2312"/>
          <w:sz w:val="32"/>
          <w:szCs w:val="32"/>
          <w:u w:val="single"/>
        </w:rPr>
      </w:pPr>
      <w:r>
        <w:rPr>
          <w:rFonts w:hint="eastAsia" w:ascii="仿宋_GB2312" w:eastAsia="仿宋_GB2312"/>
          <w:sz w:val="32"/>
          <w:szCs w:val="32"/>
        </w:rPr>
        <w:t>竞投单位：</w:t>
      </w:r>
    </w:p>
    <w:p>
      <w:pPr>
        <w:ind w:firstLine="2560" w:firstLineChars="800"/>
        <w:rPr>
          <w:rFonts w:ascii="仿宋_GB2312" w:eastAsia="仿宋_GB2312"/>
          <w:sz w:val="32"/>
          <w:szCs w:val="32"/>
        </w:rPr>
      </w:pPr>
      <w:r>
        <w:rPr>
          <w:rFonts w:hint="eastAsia" w:ascii="仿宋_GB2312" w:eastAsia="仿宋_GB2312"/>
          <w:sz w:val="32"/>
          <w:szCs w:val="32"/>
        </w:rPr>
        <w:t>竞投日期：2023年  月  日</w:t>
      </w:r>
    </w:p>
    <w:p>
      <w:pPr>
        <w:pStyle w:val="3"/>
        <w:spacing w:line="240" w:lineRule="auto"/>
        <w:rPr>
          <w:rFonts w:ascii="仿宋_GB2312" w:eastAsia="仿宋_GB2312"/>
          <w:b w:val="0"/>
          <w:sz w:val="28"/>
          <w:szCs w:val="28"/>
        </w:rPr>
      </w:pPr>
      <w:r>
        <w:rPr>
          <w:rFonts w:ascii="仿宋_GB2312" w:eastAsia="仿宋_GB2312"/>
          <w:b w:val="0"/>
          <w:sz w:val="28"/>
          <w:szCs w:val="28"/>
        </w:rPr>
        <w:br w:type="page"/>
      </w:r>
      <w:r>
        <w:rPr>
          <w:rFonts w:hint="eastAsia" w:ascii="仿宋_GB2312" w:eastAsia="仿宋_GB2312"/>
          <w:b w:val="0"/>
          <w:sz w:val="24"/>
          <w:szCs w:val="24"/>
        </w:rPr>
        <w:t>附件2：竞投函</w:t>
      </w:r>
    </w:p>
    <w:p>
      <w:pPr>
        <w:pStyle w:val="3"/>
        <w:spacing w:line="240" w:lineRule="auto"/>
        <w:jc w:val="center"/>
        <w:rPr>
          <w:rFonts w:ascii="仿宋_GB2312" w:hAnsi="宋体" w:eastAsia="仿宋_GB2312" w:cs="宋体"/>
          <w:sz w:val="30"/>
          <w:szCs w:val="30"/>
        </w:rPr>
      </w:pPr>
      <w:r>
        <w:rPr>
          <w:rFonts w:hint="eastAsia" w:ascii="仿宋_GB2312" w:hAnsi="宋体" w:eastAsia="仿宋_GB2312" w:cs="宋体"/>
          <w:sz w:val="30"/>
          <w:szCs w:val="30"/>
        </w:rPr>
        <w:t>竞投函</w:t>
      </w:r>
    </w:p>
    <w:p>
      <w:pPr>
        <w:spacing w:line="360" w:lineRule="auto"/>
        <w:rPr>
          <w:rFonts w:ascii="仿宋_GB2312" w:hAnsi="宋体" w:eastAsia="仿宋_GB2312"/>
          <w:b/>
          <w:bCs/>
          <w:sz w:val="24"/>
        </w:rPr>
      </w:pPr>
      <w:r>
        <w:rPr>
          <w:rFonts w:hint="eastAsia" w:ascii="仿宋_GB2312" w:hAnsi="宋体" w:eastAsia="仿宋_GB2312"/>
          <w:b/>
          <w:bCs/>
          <w:sz w:val="24"/>
        </w:rPr>
        <w:t xml:space="preserve">致: </w:t>
      </w:r>
      <w:r>
        <w:rPr>
          <w:rFonts w:hint="eastAsia" w:ascii="仿宋_GB2312" w:hAnsi="宋体" w:eastAsia="仿宋_GB2312" w:cs="宋体"/>
          <w:b/>
          <w:bCs/>
          <w:color w:val="333333"/>
          <w:kern w:val="0"/>
          <w:sz w:val="24"/>
        </w:rPr>
        <w:t>广州市城壹房地产顾问有限公司（采购人）</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根据你方采购项目</w:t>
      </w:r>
      <w:r>
        <w:rPr>
          <w:rFonts w:hint="eastAsia" w:ascii="仿宋_GB2312" w:hAnsi="宋体" w:eastAsia="仿宋_GB2312"/>
          <w:sz w:val="24"/>
          <w:u w:val="single"/>
        </w:rPr>
        <w:t xml:space="preserve">                            </w:t>
      </w:r>
      <w:r>
        <w:rPr>
          <w:rFonts w:hint="eastAsia" w:ascii="仿宋_GB2312" w:hAnsi="宋体" w:eastAsia="仿宋_GB2312"/>
          <w:sz w:val="24"/>
        </w:rPr>
        <w:t>的竞选采购文件要求，我方在此声明并同意：</w:t>
      </w:r>
    </w:p>
    <w:p>
      <w:pPr>
        <w:numPr>
          <w:ilvl w:val="0"/>
          <w:numId w:val="5"/>
        </w:numPr>
        <w:spacing w:line="360" w:lineRule="auto"/>
        <w:ind w:left="0" w:firstLine="425"/>
        <w:rPr>
          <w:rFonts w:ascii="仿宋_GB2312" w:hAnsi="宋体" w:eastAsia="仿宋_GB2312"/>
          <w:sz w:val="24"/>
        </w:rPr>
      </w:pPr>
      <w:r>
        <w:rPr>
          <w:rFonts w:hint="eastAsia" w:ascii="仿宋_GB2312" w:hAnsi="宋体" w:eastAsia="仿宋_GB2312"/>
          <w:sz w:val="24"/>
        </w:rPr>
        <w:t>我方愿意遵守采购文件的各项规定，按采购文件的要求提供各项资料及报价。</w:t>
      </w:r>
    </w:p>
    <w:p>
      <w:pPr>
        <w:numPr>
          <w:ilvl w:val="0"/>
          <w:numId w:val="5"/>
        </w:numPr>
        <w:spacing w:line="360" w:lineRule="auto"/>
        <w:ind w:left="0" w:firstLine="425"/>
        <w:rPr>
          <w:rFonts w:ascii="仿宋_GB2312" w:hAnsi="宋体" w:eastAsia="仿宋_GB2312"/>
          <w:sz w:val="24"/>
        </w:rPr>
      </w:pPr>
      <w:r>
        <w:rPr>
          <w:rFonts w:hint="eastAsia" w:ascii="仿宋_GB2312" w:hAnsi="宋体" w:eastAsia="仿宋_GB2312"/>
          <w:sz w:val="24"/>
        </w:rPr>
        <w:t>我方已经详细地阅读了全部采购文件及附件，包括澄清及参考文件（如果有的话），我方完全清晰理解采购文件的要求，不存在任何含糊不清和误解之处，同意放弃对这些文件提出异议和质疑的权利。</w:t>
      </w:r>
    </w:p>
    <w:p>
      <w:pPr>
        <w:numPr>
          <w:ilvl w:val="0"/>
          <w:numId w:val="5"/>
        </w:numPr>
        <w:spacing w:line="360" w:lineRule="auto"/>
        <w:ind w:left="0" w:firstLine="425"/>
        <w:rPr>
          <w:rFonts w:ascii="仿宋_GB2312" w:hAnsi="宋体" w:eastAsia="仿宋_GB2312"/>
          <w:sz w:val="24"/>
        </w:rPr>
      </w:pPr>
      <w:r>
        <w:rPr>
          <w:rFonts w:hint="eastAsia" w:ascii="仿宋_GB2312" w:hAnsi="宋体" w:eastAsia="仿宋_GB2312"/>
          <w:sz w:val="24"/>
        </w:rPr>
        <w:t>我方完全接受该项目采购文件中关于竞投的规定，并同意放弃对这规定提出异议和质疑的权利。</w:t>
      </w:r>
    </w:p>
    <w:p>
      <w:pPr>
        <w:numPr>
          <w:ilvl w:val="0"/>
          <w:numId w:val="5"/>
        </w:numPr>
        <w:spacing w:line="360" w:lineRule="auto"/>
        <w:ind w:left="0" w:firstLine="425"/>
        <w:rPr>
          <w:rFonts w:ascii="仿宋_GB2312" w:hAnsi="宋体" w:eastAsia="仿宋_GB2312"/>
          <w:sz w:val="24"/>
        </w:rPr>
      </w:pPr>
      <w:r>
        <w:rPr>
          <w:rFonts w:hint="eastAsia" w:ascii="仿宋_GB2312" w:hAnsi="宋体" w:eastAsia="仿宋_GB2312"/>
          <w:sz w:val="24"/>
        </w:rPr>
        <w:t>我方同意提供采购文件要求的有关竞投的其它资料。</w:t>
      </w:r>
    </w:p>
    <w:p>
      <w:pPr>
        <w:numPr>
          <w:ilvl w:val="0"/>
          <w:numId w:val="5"/>
        </w:numPr>
        <w:spacing w:line="360" w:lineRule="auto"/>
        <w:ind w:left="0" w:firstLine="425"/>
        <w:rPr>
          <w:rFonts w:ascii="仿宋_GB2312" w:hAnsi="宋体" w:eastAsia="仿宋_GB2312"/>
          <w:sz w:val="24"/>
        </w:rPr>
      </w:pPr>
      <w:r>
        <w:rPr>
          <w:rFonts w:hint="eastAsia" w:ascii="仿宋_GB2312" w:hAnsi="宋体" w:eastAsia="仿宋_GB2312"/>
          <w:sz w:val="24"/>
        </w:rPr>
        <w:t>我方承诺在本次竞投中提供的一切文件，无论是原件或是复印件均为真实和准确的，绝无任何虚假、伪造和夸大的成份。否则，我方愿意承担相应的后果和法律责任。</w:t>
      </w:r>
    </w:p>
    <w:p>
      <w:pPr>
        <w:numPr>
          <w:ilvl w:val="0"/>
          <w:numId w:val="5"/>
        </w:numPr>
        <w:spacing w:line="360" w:lineRule="auto"/>
        <w:ind w:left="0" w:firstLine="425"/>
        <w:rPr>
          <w:rFonts w:ascii="仿宋_GB2312" w:hAnsi="宋体" w:eastAsia="仿宋_GB2312"/>
          <w:sz w:val="24"/>
        </w:rPr>
      </w:pPr>
      <w:r>
        <w:rPr>
          <w:rFonts w:hint="eastAsia" w:ascii="仿宋_GB2312" w:hAnsi="宋体" w:eastAsia="仿宋_GB2312"/>
          <w:sz w:val="24"/>
        </w:rPr>
        <w:t>我方完全理解，采购人并无义务必须接受最低报价的竞投或其它任何竞投。</w:t>
      </w:r>
    </w:p>
    <w:p>
      <w:pPr>
        <w:numPr>
          <w:ilvl w:val="0"/>
          <w:numId w:val="5"/>
        </w:numPr>
        <w:spacing w:line="360" w:lineRule="auto"/>
        <w:ind w:left="0" w:firstLine="425"/>
        <w:rPr>
          <w:rFonts w:ascii="仿宋_GB2312" w:hAnsi="宋体" w:eastAsia="仿宋_GB2312"/>
          <w:sz w:val="24"/>
        </w:rPr>
      </w:pPr>
      <w:r>
        <w:rPr>
          <w:rFonts w:hint="eastAsia" w:ascii="仿宋_GB2312" w:hAnsi="宋体" w:eastAsia="仿宋_GB2312"/>
          <w:sz w:val="24"/>
        </w:rPr>
        <w:t>如我方的竞投条件被接受，我方同意按照采购文件相关规定签署合同。</w:t>
      </w:r>
    </w:p>
    <w:p>
      <w:pPr>
        <w:spacing w:line="440" w:lineRule="exact"/>
        <w:rPr>
          <w:rFonts w:ascii="仿宋_GB2312" w:hAnsi="宋体" w:eastAsia="仿宋_GB2312"/>
          <w:bCs/>
          <w:sz w:val="24"/>
        </w:rPr>
      </w:pPr>
    </w:p>
    <w:p>
      <w:pPr>
        <w:spacing w:line="440" w:lineRule="exact"/>
        <w:rPr>
          <w:rFonts w:ascii="仿宋_GB2312" w:hAnsi="宋体" w:eastAsia="仿宋_GB2312"/>
          <w:bCs/>
          <w:sz w:val="24"/>
        </w:rPr>
      </w:pPr>
    </w:p>
    <w:p>
      <w:pPr>
        <w:spacing w:line="440" w:lineRule="exact"/>
        <w:rPr>
          <w:rFonts w:ascii="仿宋_GB2312" w:hAnsi="宋体" w:eastAsia="仿宋_GB2312"/>
          <w:bCs/>
          <w:sz w:val="24"/>
        </w:rPr>
      </w:pPr>
    </w:p>
    <w:p>
      <w:pPr>
        <w:spacing w:line="440" w:lineRule="exact"/>
        <w:rPr>
          <w:rFonts w:ascii="仿宋_GB2312" w:hAnsi="宋体" w:eastAsia="仿宋_GB2312"/>
          <w:bCs/>
          <w:sz w:val="24"/>
        </w:rPr>
      </w:pPr>
      <w:r>
        <w:rPr>
          <w:rFonts w:hint="eastAsia" w:ascii="仿宋_GB2312" w:hAnsi="宋体" w:eastAsia="仿宋_GB2312"/>
          <w:bCs/>
          <w:sz w:val="24"/>
        </w:rPr>
        <w:t>竞投人全称（加盖公章）:</w:t>
      </w:r>
    </w:p>
    <w:p>
      <w:pPr>
        <w:tabs>
          <w:tab w:val="left" w:pos="3600"/>
        </w:tabs>
        <w:spacing w:line="440" w:lineRule="exact"/>
        <w:rPr>
          <w:rFonts w:ascii="仿宋_GB2312" w:hAnsi="宋体" w:eastAsia="仿宋_GB2312"/>
          <w:bCs/>
          <w:sz w:val="24"/>
        </w:rPr>
      </w:pPr>
      <w:r>
        <w:rPr>
          <w:rFonts w:hint="eastAsia" w:ascii="仿宋_GB2312" w:hAnsi="宋体" w:eastAsia="仿宋_GB2312"/>
          <w:bCs/>
          <w:sz w:val="24"/>
        </w:rPr>
        <w:t>法定代表人或其竞投人授权代表(</w:t>
      </w:r>
      <w:r>
        <w:rPr>
          <w:rFonts w:hint="eastAsia" w:ascii="仿宋_GB2312" w:hAnsi="宋体" w:eastAsia="仿宋_GB2312"/>
          <w:sz w:val="24"/>
        </w:rPr>
        <w:t>签字</w:t>
      </w:r>
      <w:r>
        <w:rPr>
          <w:rFonts w:hint="eastAsia" w:ascii="仿宋_GB2312" w:hAnsi="宋体" w:eastAsia="仿宋_GB2312"/>
          <w:bCs/>
          <w:sz w:val="24"/>
        </w:rPr>
        <w:t>)：</w:t>
      </w:r>
    </w:p>
    <w:p>
      <w:pPr>
        <w:spacing w:before="120" w:after="120" w:line="440" w:lineRule="exact"/>
        <w:rPr>
          <w:rFonts w:ascii="仿宋_GB2312" w:hAnsi="宋体" w:eastAsia="仿宋_GB2312"/>
          <w:bCs/>
          <w:sz w:val="24"/>
        </w:rPr>
      </w:pPr>
      <w:r>
        <w:rPr>
          <w:rFonts w:hint="eastAsia" w:ascii="仿宋_GB2312" w:hAnsi="宋体" w:eastAsia="仿宋_GB2312"/>
          <w:bCs/>
          <w:sz w:val="24"/>
        </w:rPr>
        <w:t>日    期：         年      月     日</w:t>
      </w:r>
    </w:p>
    <w:p>
      <w:pPr>
        <w:pStyle w:val="3"/>
        <w:rPr>
          <w:rFonts w:ascii="仿宋_GB2312" w:hAnsi="宋体" w:eastAsia="仿宋_GB2312"/>
          <w:b w:val="0"/>
          <w:sz w:val="21"/>
          <w:szCs w:val="21"/>
        </w:rPr>
      </w:pPr>
    </w:p>
    <w:p>
      <w:pPr>
        <w:rPr>
          <w:rFonts w:ascii="仿宋_GB2312" w:hAnsi="宋体" w:eastAsia="仿宋_GB2312"/>
          <w:b/>
          <w:szCs w:val="21"/>
        </w:rPr>
      </w:pPr>
    </w:p>
    <w:p>
      <w:pPr>
        <w:keepNext/>
        <w:keepLines/>
        <w:spacing w:before="260" w:after="20" w:line="400" w:lineRule="exact"/>
        <w:outlineLvl w:val="1"/>
        <w:rPr>
          <w:rFonts w:ascii="仿宋_GB2312" w:hAnsi="Arial" w:eastAsia="仿宋_GB2312"/>
          <w:b/>
          <w:bCs/>
          <w:sz w:val="28"/>
          <w:szCs w:val="28"/>
        </w:rPr>
      </w:pPr>
      <w:bookmarkStart w:id="15" w:name="_Toc334797769"/>
      <w:r>
        <w:rPr>
          <w:rFonts w:hint="eastAsia" w:ascii="仿宋_GB2312" w:hAnsi="Arial" w:eastAsia="仿宋_GB2312"/>
          <w:bCs/>
          <w:sz w:val="24"/>
        </w:rPr>
        <w:t>附件3</w:t>
      </w:r>
    </w:p>
    <w:bookmarkEnd w:id="15"/>
    <w:p>
      <w:pPr>
        <w:keepNext/>
        <w:keepLines/>
        <w:spacing w:before="260" w:after="260" w:line="400" w:lineRule="exact"/>
        <w:jc w:val="center"/>
        <w:outlineLvl w:val="1"/>
        <w:rPr>
          <w:rFonts w:ascii="仿宋_GB2312" w:hAnsi="宋体" w:eastAsia="仿宋_GB2312" w:cs="宋体"/>
          <w:sz w:val="32"/>
          <w:szCs w:val="32"/>
        </w:rPr>
      </w:pPr>
      <w:r>
        <w:rPr>
          <w:rFonts w:hint="eastAsia" w:ascii="仿宋_GB2312" w:hAnsi="宋体" w:eastAsia="仿宋_GB2312" w:cs="宋体"/>
          <w:b/>
          <w:bCs/>
          <w:sz w:val="32"/>
          <w:szCs w:val="32"/>
        </w:rPr>
        <w:t>法定代表人证明及授权书</w:t>
      </w:r>
    </w:p>
    <w:p>
      <w:pPr>
        <w:spacing w:line="400" w:lineRule="exact"/>
        <w:rPr>
          <w:rFonts w:ascii="仿宋_GB2312" w:hAnsi="宋体" w:eastAsia="仿宋_GB2312"/>
          <w:szCs w:val="21"/>
        </w:rPr>
      </w:pPr>
      <w:r>
        <w:rPr>
          <w:rFonts w:hint="eastAsia" w:ascii="仿宋_GB2312" w:hAnsi="宋体" w:eastAsia="仿宋_GB2312" w:cs="宋体"/>
          <w:bCs/>
          <w:kern w:val="0"/>
          <w:sz w:val="24"/>
          <w:szCs w:val="21"/>
        </w:rPr>
        <w:t xml:space="preserve">致: </w:t>
      </w:r>
      <w:r>
        <w:rPr>
          <w:rFonts w:hint="eastAsia" w:ascii="仿宋_GB2312" w:hAnsi="仿宋_GB2312" w:eastAsia="仿宋_GB2312" w:cs="仿宋_GB2312"/>
          <w:sz w:val="24"/>
        </w:rPr>
        <w:t>广州市城壹房地产顾问有限公司</w:t>
      </w:r>
      <w:r>
        <w:rPr>
          <w:rFonts w:hint="eastAsia" w:ascii="仿宋_GB2312" w:hAnsi="宋体" w:eastAsia="仿宋_GB2312"/>
          <w:szCs w:val="21"/>
        </w:rPr>
        <w:tab/>
      </w:r>
    </w:p>
    <w:p>
      <w:pPr>
        <w:spacing w:line="400" w:lineRule="exact"/>
        <w:rPr>
          <w:rFonts w:ascii="仿宋_GB2312" w:hAnsi="宋体" w:eastAsia="仿宋_GB2312"/>
          <w:szCs w:val="21"/>
        </w:rPr>
      </w:pPr>
    </w:p>
    <w:p>
      <w:pPr>
        <w:spacing w:line="400" w:lineRule="exact"/>
        <w:rPr>
          <w:rFonts w:ascii="仿宋_GB2312" w:hAnsi="宋体" w:eastAsia="仿宋_GB2312"/>
          <w:sz w:val="24"/>
        </w:rPr>
      </w:pPr>
      <w:r>
        <w:rPr>
          <w:rFonts w:hint="eastAsia" w:ascii="仿宋_GB2312" w:hAnsi="宋体" w:eastAsia="仿宋_GB2312"/>
          <w:sz w:val="24"/>
        </w:rPr>
        <w:t>本授权证明：</w:t>
      </w:r>
      <w:r>
        <w:rPr>
          <w:rFonts w:hint="eastAsia" w:ascii="仿宋_GB2312" w:hAnsi="宋体" w:eastAsia="仿宋_GB2312"/>
          <w:i/>
          <w:sz w:val="24"/>
          <w:u w:val="single"/>
        </w:rPr>
        <w:t xml:space="preserve">                </w:t>
      </w:r>
      <w:r>
        <w:rPr>
          <w:rFonts w:hint="eastAsia" w:ascii="仿宋_GB2312" w:hAnsi="宋体" w:eastAsia="仿宋_GB2312"/>
          <w:sz w:val="24"/>
        </w:rPr>
        <w:t>是注册于</w:t>
      </w:r>
      <w:r>
        <w:rPr>
          <w:rFonts w:hint="eastAsia" w:ascii="仿宋_GB2312" w:hAnsi="宋体" w:eastAsia="仿宋_GB2312"/>
          <w:i/>
          <w:sz w:val="24"/>
          <w:u w:val="single"/>
        </w:rPr>
        <w:t xml:space="preserve">                         </w:t>
      </w:r>
      <w:r>
        <w:rPr>
          <w:rFonts w:hint="eastAsia" w:ascii="仿宋_GB2312" w:hAnsi="宋体" w:eastAsia="仿宋_GB2312"/>
          <w:sz w:val="24"/>
        </w:rPr>
        <w:t>的</w:t>
      </w:r>
      <w:r>
        <w:rPr>
          <w:rFonts w:hint="eastAsia" w:ascii="仿宋_GB2312" w:hAnsi="宋体" w:eastAsia="仿宋_GB2312"/>
          <w:i/>
          <w:sz w:val="24"/>
          <w:u w:val="single"/>
        </w:rPr>
        <w:t xml:space="preserve">                                </w:t>
      </w:r>
      <w:r>
        <w:rPr>
          <w:rFonts w:hint="eastAsia" w:ascii="仿宋_GB2312" w:hAnsi="宋体" w:eastAsia="仿宋_GB2312"/>
          <w:sz w:val="24"/>
        </w:rPr>
        <w:t>法定代表人，现任</w:t>
      </w:r>
      <w:r>
        <w:rPr>
          <w:rFonts w:hint="eastAsia" w:ascii="仿宋_GB2312" w:hAnsi="宋体" w:eastAsia="仿宋_GB2312"/>
          <w:i/>
          <w:sz w:val="24"/>
          <w:u w:val="single"/>
        </w:rPr>
        <w:t xml:space="preserve">         </w:t>
      </w:r>
      <w:r>
        <w:rPr>
          <w:rFonts w:hint="eastAsia" w:ascii="仿宋_GB2312" w:hAnsi="宋体" w:eastAsia="仿宋_GB2312"/>
          <w:sz w:val="24"/>
        </w:rPr>
        <w:t>。在此授权</w:t>
      </w:r>
      <w:r>
        <w:rPr>
          <w:rFonts w:hint="eastAsia" w:ascii="仿宋_GB2312" w:hAnsi="宋体" w:eastAsia="仿宋_GB2312"/>
          <w:i/>
          <w:sz w:val="24"/>
          <w:u w:val="single"/>
        </w:rPr>
        <w:t xml:space="preserve">                 </w:t>
      </w:r>
      <w:r>
        <w:rPr>
          <w:rFonts w:hint="eastAsia" w:ascii="仿宋_GB2312" w:hAnsi="宋体" w:eastAsia="仿宋_GB2312"/>
          <w:sz w:val="24"/>
        </w:rPr>
        <w:t>作为我公司的全权代理人，在</w:t>
      </w:r>
      <w:r>
        <w:rPr>
          <w:rFonts w:hint="eastAsia" w:ascii="仿宋_GB2312" w:hAnsi="宋体" w:eastAsia="仿宋_GB2312"/>
          <w:sz w:val="24"/>
          <w:u w:val="single"/>
        </w:rPr>
        <w:t xml:space="preserve">         </w:t>
      </w:r>
      <w:r>
        <w:rPr>
          <w:rFonts w:hint="eastAsia" w:ascii="仿宋_GB2312" w:hAnsi="宋体" w:eastAsia="仿宋_GB2312"/>
          <w:sz w:val="24"/>
        </w:rPr>
        <w:t>的竞投及其合同执行过程中，以我公司的名义处理一切与之有关的事务。</w:t>
      </w:r>
    </w:p>
    <w:p>
      <w:pPr>
        <w:spacing w:line="400" w:lineRule="exact"/>
        <w:rPr>
          <w:rFonts w:ascii="仿宋_GB2312" w:hAnsi="宋体" w:eastAsia="仿宋_GB2312"/>
          <w:sz w:val="24"/>
        </w:rPr>
      </w:pPr>
      <w:r>
        <w:rPr>
          <w:rFonts w:hint="eastAsia" w:ascii="仿宋_GB2312" w:hAnsi="宋体" w:eastAsia="仿宋_GB2312"/>
          <w:sz w:val="24"/>
        </w:rPr>
        <w:t>本授权书于</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日起签字生效，特此声明。</w:t>
      </w:r>
    </w:p>
    <w:p>
      <w:pPr>
        <w:spacing w:line="400" w:lineRule="exact"/>
        <w:rPr>
          <w:rFonts w:ascii="仿宋_GB2312" w:hAnsi="宋体" w:eastAsia="仿宋_GB2312"/>
          <w:sz w:val="24"/>
        </w:rPr>
      </w:pPr>
    </w:p>
    <w:p>
      <w:pPr>
        <w:spacing w:line="400" w:lineRule="exact"/>
        <w:rPr>
          <w:rFonts w:ascii="仿宋_GB2312" w:hAnsi="宋体" w:eastAsia="仿宋_GB2312"/>
          <w:sz w:val="24"/>
        </w:rPr>
      </w:pPr>
    </w:p>
    <w:p>
      <w:pPr>
        <w:spacing w:line="400" w:lineRule="exact"/>
        <w:rPr>
          <w:rFonts w:ascii="仿宋_GB2312" w:hAnsi="宋体" w:eastAsia="仿宋_GB2312"/>
          <w:sz w:val="24"/>
        </w:rPr>
      </w:pPr>
    </w:p>
    <w:p>
      <w:pPr>
        <w:spacing w:line="400" w:lineRule="exact"/>
        <w:rPr>
          <w:rFonts w:ascii="仿宋_GB2312" w:hAnsi="宋体" w:eastAsia="仿宋_GB2312"/>
          <w:sz w:val="24"/>
        </w:rPr>
      </w:pPr>
    </w:p>
    <w:p>
      <w:pPr>
        <w:spacing w:line="400" w:lineRule="exact"/>
        <w:rPr>
          <w:rFonts w:ascii="仿宋_GB2312" w:hAnsi="宋体" w:eastAsia="仿宋_GB2312"/>
          <w:sz w:val="24"/>
        </w:rPr>
      </w:pPr>
    </w:p>
    <w:p>
      <w:pPr>
        <w:spacing w:line="400" w:lineRule="exact"/>
        <w:rPr>
          <w:rFonts w:ascii="仿宋_GB2312" w:hAnsi="宋体" w:eastAsia="仿宋_GB2312"/>
          <w:sz w:val="24"/>
        </w:rPr>
      </w:pPr>
    </w:p>
    <w:p>
      <w:pPr>
        <w:spacing w:line="400" w:lineRule="exact"/>
        <w:rPr>
          <w:rFonts w:ascii="仿宋_GB2312" w:hAnsi="宋体" w:eastAsia="仿宋_GB2312"/>
          <w:sz w:val="24"/>
        </w:rPr>
      </w:pPr>
    </w:p>
    <w:p>
      <w:pPr>
        <w:spacing w:line="400" w:lineRule="exact"/>
        <w:rPr>
          <w:rFonts w:ascii="仿宋_GB2312" w:hAnsi="宋体" w:eastAsia="仿宋_GB2312"/>
          <w:sz w:val="24"/>
        </w:rPr>
      </w:pPr>
      <w:r>
        <w:rPr>
          <w:rFonts w:hint="eastAsia" w:ascii="仿宋_GB2312" w:hAnsi="宋体" w:eastAsia="仿宋_GB2312"/>
          <w:sz w:val="24"/>
        </w:rPr>
        <w:t xml:space="preserve">竞投人全称（公章）：                   </w:t>
      </w:r>
    </w:p>
    <w:p>
      <w:pPr>
        <w:spacing w:line="400" w:lineRule="exact"/>
        <w:rPr>
          <w:rFonts w:ascii="仿宋_GB2312" w:hAnsi="宋体" w:eastAsia="仿宋_GB2312"/>
          <w:sz w:val="24"/>
        </w:rPr>
      </w:pPr>
      <w:r>
        <w:rPr>
          <w:rFonts w:hint="eastAsia" w:ascii="仿宋_GB2312" w:hAnsi="宋体" w:eastAsia="仿宋_GB2312"/>
          <w:sz w:val="24"/>
        </w:rPr>
        <w:t>法定代表人（</w:t>
      </w:r>
      <w:r>
        <w:rPr>
          <w:rFonts w:hint="eastAsia" w:ascii="仿宋_GB2312" w:hAnsi="宋体" w:eastAsia="仿宋_GB2312"/>
          <w:b/>
          <w:bCs/>
          <w:sz w:val="24"/>
        </w:rPr>
        <w:t>签字</w:t>
      </w:r>
      <w:r>
        <w:rPr>
          <w:rFonts w:hint="eastAsia" w:ascii="仿宋_GB2312" w:hAnsi="宋体" w:eastAsia="仿宋_GB2312"/>
          <w:sz w:val="24"/>
        </w:rPr>
        <w:t xml:space="preserve">）：        </w:t>
      </w:r>
    </w:p>
    <w:p>
      <w:pPr>
        <w:spacing w:line="400" w:lineRule="exact"/>
        <w:rPr>
          <w:rFonts w:ascii="仿宋_GB2312" w:hAnsi="宋体" w:eastAsia="仿宋_GB2312"/>
          <w:sz w:val="24"/>
        </w:rPr>
      </w:pPr>
      <w:r>
        <w:rPr>
          <w:rFonts w:hint="eastAsia" w:ascii="仿宋_GB2312" w:hAnsi="宋体" w:eastAsia="仿宋_GB2312"/>
          <w:sz w:val="24"/>
        </w:rPr>
        <w:t>被授权人(竞投人授权代表)（</w:t>
      </w:r>
      <w:r>
        <w:rPr>
          <w:rFonts w:hint="eastAsia" w:ascii="仿宋_GB2312" w:hAnsi="宋体" w:eastAsia="仿宋_GB2312"/>
          <w:b/>
          <w:bCs/>
          <w:sz w:val="24"/>
        </w:rPr>
        <w:t>签字</w:t>
      </w:r>
      <w:r>
        <w:rPr>
          <w:rFonts w:hint="eastAsia" w:ascii="仿宋_GB2312" w:hAnsi="宋体" w:eastAsia="仿宋_GB2312"/>
          <w:sz w:val="24"/>
        </w:rPr>
        <w:t>）：</w:t>
      </w:r>
    </w:p>
    <w:p>
      <w:pPr>
        <w:spacing w:line="400" w:lineRule="exact"/>
        <w:rPr>
          <w:rFonts w:ascii="仿宋_GB2312" w:hAnsi="宋体" w:eastAsia="仿宋_GB2312"/>
          <w:szCs w:val="21"/>
        </w:rPr>
      </w:pPr>
    </w:p>
    <w:p>
      <w:pPr>
        <w:spacing w:line="400" w:lineRule="exact"/>
        <w:rPr>
          <w:rFonts w:ascii="仿宋_GB2312" w:hAnsi="宋体" w:eastAsia="仿宋_GB2312"/>
          <w:szCs w:val="21"/>
        </w:rPr>
      </w:pPr>
    </w:p>
    <w:p>
      <w:pPr>
        <w:spacing w:line="400" w:lineRule="exact"/>
        <w:rPr>
          <w:rFonts w:ascii="仿宋_GB2312" w:hAnsi="宋体" w:eastAsia="仿宋_GB2312"/>
          <w:szCs w:val="21"/>
        </w:rPr>
      </w:pPr>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74" w:hRule="atLeast"/>
          <w:jc w:val="center"/>
        </w:trPr>
        <w:tc>
          <w:tcPr>
            <w:tcW w:w="6105" w:type="dxa"/>
            <w:vAlign w:val="center"/>
          </w:tcPr>
          <w:p>
            <w:pPr>
              <w:spacing w:line="400" w:lineRule="exact"/>
              <w:jc w:val="center"/>
              <w:rPr>
                <w:rFonts w:ascii="仿宋_GB2312" w:hAnsi="宋体" w:eastAsia="仿宋_GB2312"/>
                <w:b/>
                <w:szCs w:val="21"/>
              </w:rPr>
            </w:pPr>
            <w:r>
              <w:rPr>
                <w:rFonts w:hint="eastAsia" w:ascii="仿宋_GB2312" w:hAnsi="宋体" w:eastAsia="仿宋_GB2312"/>
                <w:b/>
                <w:szCs w:val="21"/>
              </w:rPr>
              <w:t>被授权人(竞投人授权代表)</w:t>
            </w:r>
          </w:p>
          <w:p>
            <w:pPr>
              <w:spacing w:line="400" w:lineRule="exact"/>
              <w:jc w:val="center"/>
              <w:rPr>
                <w:rFonts w:ascii="仿宋_GB2312" w:hAnsi="宋体" w:eastAsia="仿宋_GB2312"/>
                <w:b/>
                <w:szCs w:val="21"/>
              </w:rPr>
            </w:pPr>
            <w:r>
              <w:rPr>
                <w:rFonts w:hint="eastAsia" w:ascii="仿宋_GB2312" w:hAnsi="宋体" w:eastAsia="仿宋_GB2312"/>
                <w:b/>
                <w:szCs w:val="21"/>
              </w:rPr>
              <w:t>居民身份证复印件（盖章）</w:t>
            </w:r>
          </w:p>
          <w:p>
            <w:pPr>
              <w:spacing w:line="400" w:lineRule="exact"/>
              <w:jc w:val="center"/>
              <w:rPr>
                <w:rFonts w:ascii="仿宋_GB2312" w:hAnsi="宋体" w:eastAsia="仿宋_GB2312"/>
                <w:szCs w:val="21"/>
              </w:rPr>
            </w:pPr>
            <w:r>
              <w:rPr>
                <w:rFonts w:hint="eastAsia" w:ascii="仿宋_GB2312" w:hAnsi="宋体" w:eastAsia="仿宋_GB2312"/>
                <w:b/>
                <w:szCs w:val="21"/>
              </w:rPr>
              <w:t>粘贴处</w:t>
            </w:r>
          </w:p>
        </w:tc>
      </w:tr>
    </w:tbl>
    <w:p>
      <w:pPr>
        <w:keepNext/>
        <w:keepLines/>
        <w:spacing w:before="260" w:after="260" w:line="400" w:lineRule="exact"/>
        <w:outlineLvl w:val="1"/>
        <w:rPr>
          <w:rFonts w:ascii="仿宋_GB2312" w:hAnsi="Arial" w:eastAsia="仿宋_GB2312"/>
          <w:b/>
          <w:bCs/>
          <w:szCs w:val="21"/>
        </w:rPr>
      </w:pPr>
      <w:r>
        <w:rPr>
          <w:rFonts w:hint="eastAsia" w:ascii="仿宋_GB2312" w:hAnsi="Arial" w:eastAsia="仿宋_GB2312"/>
          <w:bCs/>
          <w:sz w:val="24"/>
        </w:rPr>
        <w:t>附件4</w:t>
      </w:r>
      <w:r>
        <w:rPr>
          <w:rFonts w:ascii="仿宋_GB2312" w:hAnsi="Arial" w:eastAsia="仿宋_GB2312"/>
          <w:b/>
          <w:bCs/>
          <w:szCs w:val="21"/>
        </w:rPr>
        <w:t xml:space="preserve"> </w:t>
      </w:r>
    </w:p>
    <w:p>
      <w:pPr>
        <w:keepNext/>
        <w:keepLines/>
        <w:spacing w:before="260" w:after="260" w:line="400" w:lineRule="exact"/>
        <w:jc w:val="center"/>
        <w:outlineLvl w:val="1"/>
        <w:rPr>
          <w:rFonts w:ascii="仿宋_GB2312" w:hAnsi="宋体" w:eastAsia="仿宋_GB2312" w:cs="宋体"/>
          <w:b/>
          <w:bCs/>
          <w:sz w:val="32"/>
          <w:szCs w:val="32"/>
        </w:rPr>
      </w:pPr>
    </w:p>
    <w:p>
      <w:pPr>
        <w:keepNext/>
        <w:keepLines/>
        <w:spacing w:before="260" w:after="260" w:line="400" w:lineRule="exact"/>
        <w:jc w:val="center"/>
        <w:outlineLvl w:val="1"/>
        <w:rPr>
          <w:rFonts w:ascii="仿宋_GB2312" w:hAnsi="宋体" w:eastAsia="仿宋_GB2312" w:cs="宋体"/>
          <w:b/>
          <w:bCs/>
          <w:sz w:val="32"/>
          <w:szCs w:val="32"/>
        </w:rPr>
      </w:pPr>
      <w:r>
        <w:rPr>
          <w:rFonts w:hint="eastAsia" w:ascii="仿宋_GB2312" w:hAnsi="宋体" w:eastAsia="仿宋_GB2312" w:cs="宋体"/>
          <w:b/>
          <w:bCs/>
          <w:sz w:val="32"/>
          <w:szCs w:val="32"/>
        </w:rPr>
        <w:t>竞投报价表</w:t>
      </w:r>
    </w:p>
    <w:p>
      <w:pPr>
        <w:spacing w:line="400" w:lineRule="exact"/>
        <w:rPr>
          <w:rFonts w:ascii="仿宋_GB2312" w:hAnsi="仿宋_GB2312" w:eastAsia="仿宋_GB2312" w:cs="仿宋_GB2312"/>
          <w:szCs w:val="21"/>
        </w:rPr>
      </w:pPr>
      <w:r>
        <w:rPr>
          <w:rFonts w:hint="eastAsia" w:ascii="仿宋_GB2312" w:hAnsi="宋体" w:eastAsia="仿宋_GB2312" w:cs="Tahoma"/>
          <w:szCs w:val="21"/>
        </w:rPr>
        <w:t>项目名称</w:t>
      </w:r>
      <w:r>
        <w:rPr>
          <w:rFonts w:hint="eastAsia" w:ascii="仿宋_GB2312" w:hAnsi="宋体" w:eastAsia="仿宋_GB2312" w:cs="Tahoma"/>
          <w:kern w:val="28"/>
          <w:szCs w:val="21"/>
        </w:rPr>
        <w:t>：</w:t>
      </w:r>
      <w:r>
        <w:rPr>
          <w:rFonts w:hint="eastAsia" w:ascii="仿宋_GB2312" w:hAnsi="仿宋_GB2312" w:eastAsia="仿宋_GB2312" w:cs="仿宋_GB2312"/>
          <w:szCs w:val="21"/>
        </w:rPr>
        <w:t xml:space="preserve"> </w:t>
      </w:r>
      <w:r>
        <w:rPr>
          <w:rFonts w:hint="eastAsia" w:ascii="仿宋_GB2312" w:hAnsi="宋体" w:eastAsia="仿宋_GB2312" w:cs="Tahoma"/>
          <w:kern w:val="28"/>
          <w:szCs w:val="21"/>
        </w:rPr>
        <w:t xml:space="preserve">                                                  </w:t>
      </w:r>
      <w:r>
        <w:rPr>
          <w:rFonts w:hint="eastAsia" w:ascii="仿宋_GB2312" w:hAnsi="仿宋_GB2312" w:eastAsia="仿宋_GB2312" w:cs="仿宋_GB2312"/>
          <w:szCs w:val="21"/>
        </w:rPr>
        <w:t>[货币单位：人民币元]</w:t>
      </w:r>
    </w:p>
    <w:p>
      <w:pPr>
        <w:spacing w:line="400" w:lineRule="exact"/>
        <w:rPr>
          <w:rFonts w:ascii="仿宋_GB2312" w:hAnsi="宋体" w:eastAsia="仿宋_GB2312" w:cs="Tahoma"/>
          <w:kern w:val="28"/>
          <w:szCs w:val="21"/>
        </w:rPr>
      </w:pPr>
    </w:p>
    <w:tbl>
      <w:tblPr>
        <w:tblStyle w:val="11"/>
        <w:tblW w:w="0" w:type="auto"/>
        <w:tblInd w:w="-1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11"/>
        <w:gridCol w:w="2365"/>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Calibri" w:hAnsi="Calibri"/>
              </w:rPr>
            </w:pPr>
            <w:r>
              <w:rPr>
                <w:rFonts w:hint="eastAsia" w:ascii="Calibri" w:hAnsi="Calibri"/>
              </w:rPr>
              <w:t>序号</w:t>
            </w:r>
          </w:p>
        </w:tc>
        <w:tc>
          <w:tcPr>
            <w:tcW w:w="3911" w:type="dxa"/>
            <w:vAlign w:val="center"/>
          </w:tcPr>
          <w:p>
            <w:pPr>
              <w:jc w:val="center"/>
              <w:rPr>
                <w:rFonts w:ascii="Calibri" w:hAnsi="Calibri"/>
              </w:rPr>
            </w:pPr>
            <w:r>
              <w:rPr>
                <w:rFonts w:hint="eastAsia" w:ascii="Calibri" w:hAnsi="Calibri"/>
              </w:rPr>
              <w:t>报价内容</w:t>
            </w:r>
          </w:p>
        </w:tc>
        <w:tc>
          <w:tcPr>
            <w:tcW w:w="2365" w:type="dxa"/>
            <w:vAlign w:val="center"/>
          </w:tcPr>
          <w:p>
            <w:pPr>
              <w:jc w:val="center"/>
              <w:rPr>
                <w:rFonts w:ascii="Calibri" w:hAnsi="Calibri"/>
              </w:rPr>
            </w:pPr>
            <w:r>
              <w:rPr>
                <w:rFonts w:hint="eastAsia" w:ascii="Calibri" w:hAnsi="Calibri"/>
              </w:rPr>
              <w:t>报价金额</w:t>
            </w:r>
          </w:p>
        </w:tc>
        <w:tc>
          <w:tcPr>
            <w:tcW w:w="2365" w:type="dxa"/>
            <w:vAlign w:val="center"/>
          </w:tcPr>
          <w:p>
            <w:pPr>
              <w:jc w:val="center"/>
              <w:rPr>
                <w:rFonts w:ascii="Calibri" w:hAnsi="Calibri"/>
              </w:rPr>
            </w:pPr>
            <w:r>
              <w:rPr>
                <w:rFonts w:hint="eastAsia" w:ascii="Calibri" w:hAnsi="Calibri"/>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Calibri" w:hAnsi="Calibri"/>
              </w:rPr>
            </w:pPr>
            <w:r>
              <w:rPr>
                <w:rFonts w:hint="eastAsia" w:ascii="Calibri" w:hAnsi="Calibri"/>
              </w:rPr>
              <w:t>1</w:t>
            </w:r>
          </w:p>
        </w:tc>
        <w:tc>
          <w:tcPr>
            <w:tcW w:w="3911" w:type="dxa"/>
            <w:vAlign w:val="center"/>
          </w:tcPr>
          <w:p>
            <w:pPr>
              <w:rPr>
                <w:rFonts w:ascii="Calibri" w:hAnsi="Calibri"/>
              </w:rPr>
            </w:pPr>
            <w:r>
              <w:rPr>
                <w:rFonts w:hint="eastAsia" w:ascii="Calibri" w:hAnsi="Calibri"/>
              </w:rPr>
              <w:t>竞投总报价（含税）</w:t>
            </w:r>
          </w:p>
        </w:tc>
        <w:tc>
          <w:tcPr>
            <w:tcW w:w="2365" w:type="dxa"/>
            <w:vAlign w:val="center"/>
          </w:tcPr>
          <w:p>
            <w:pPr>
              <w:rPr>
                <w:rFonts w:ascii="Calibri" w:hAnsi="Calibri"/>
              </w:rPr>
            </w:pPr>
          </w:p>
        </w:tc>
        <w:tc>
          <w:tcPr>
            <w:tcW w:w="2365" w:type="dxa"/>
            <w:vAlign w:val="center"/>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Calibri" w:hAnsi="Calibri"/>
              </w:rPr>
            </w:pPr>
            <w:r>
              <w:rPr>
                <w:rFonts w:hint="eastAsia" w:ascii="Calibri" w:hAnsi="Calibri"/>
              </w:rPr>
              <w:t>2</w:t>
            </w:r>
          </w:p>
        </w:tc>
        <w:tc>
          <w:tcPr>
            <w:tcW w:w="3911" w:type="dxa"/>
            <w:vAlign w:val="center"/>
          </w:tcPr>
          <w:p>
            <w:pPr>
              <w:rPr>
                <w:rFonts w:ascii="Calibri" w:hAnsi="Calibri"/>
              </w:rPr>
            </w:pPr>
            <w:r>
              <w:rPr>
                <w:rFonts w:hint="eastAsia" w:ascii="Calibri" w:hAnsi="Calibri"/>
              </w:rPr>
              <w:t>不含税报价</w:t>
            </w:r>
          </w:p>
        </w:tc>
        <w:tc>
          <w:tcPr>
            <w:tcW w:w="2365" w:type="dxa"/>
            <w:vAlign w:val="center"/>
          </w:tcPr>
          <w:p>
            <w:pPr>
              <w:rPr>
                <w:rFonts w:ascii="Calibri" w:hAnsi="Calibri"/>
              </w:rPr>
            </w:pPr>
          </w:p>
        </w:tc>
        <w:tc>
          <w:tcPr>
            <w:tcW w:w="2365" w:type="dxa"/>
            <w:vAlign w:val="center"/>
          </w:tcPr>
          <w:p>
            <w:pPr>
              <w:rPr>
                <w:rFonts w:ascii="Calibri" w:hAnsi="Calibri"/>
              </w:rPr>
            </w:pPr>
            <w:r>
              <w:rPr>
                <w:rFonts w:hint="eastAsia" w:ascii="Calibri" w:hAnsi="Calibri"/>
              </w:rPr>
              <w:t>此项参与价格评分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Calibri" w:hAnsi="Calibri"/>
              </w:rPr>
            </w:pPr>
            <w:r>
              <w:rPr>
                <w:rFonts w:hint="eastAsia" w:ascii="Calibri" w:hAnsi="Calibri"/>
              </w:rPr>
              <w:t>3</w:t>
            </w:r>
          </w:p>
        </w:tc>
        <w:tc>
          <w:tcPr>
            <w:tcW w:w="3911" w:type="dxa"/>
            <w:vAlign w:val="center"/>
          </w:tcPr>
          <w:p>
            <w:pPr>
              <w:rPr>
                <w:rFonts w:ascii="Calibri" w:hAnsi="Calibri"/>
              </w:rPr>
            </w:pPr>
            <w:r>
              <w:rPr>
                <w:rFonts w:hint="eastAsia" w:ascii="Calibri" w:hAnsi="Calibri"/>
              </w:rPr>
              <w:t>增值税费</w:t>
            </w:r>
          </w:p>
        </w:tc>
        <w:tc>
          <w:tcPr>
            <w:tcW w:w="2365" w:type="dxa"/>
            <w:vAlign w:val="center"/>
          </w:tcPr>
          <w:p>
            <w:pPr>
              <w:rPr>
                <w:rFonts w:ascii="Calibri" w:hAnsi="Calibri"/>
              </w:rPr>
            </w:pPr>
          </w:p>
        </w:tc>
        <w:tc>
          <w:tcPr>
            <w:tcW w:w="2365" w:type="dxa"/>
            <w:vAlign w:val="center"/>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Calibri" w:hAnsi="Calibri"/>
              </w:rPr>
            </w:pPr>
            <w:r>
              <w:rPr>
                <w:rFonts w:hint="eastAsia" w:ascii="Calibri" w:hAnsi="Calibri"/>
              </w:rPr>
              <w:t>4</w:t>
            </w:r>
          </w:p>
        </w:tc>
        <w:tc>
          <w:tcPr>
            <w:tcW w:w="3911" w:type="dxa"/>
            <w:vAlign w:val="center"/>
          </w:tcPr>
          <w:p>
            <w:pPr>
              <w:rPr>
                <w:rFonts w:ascii="Calibri" w:hAnsi="Calibri"/>
              </w:rPr>
            </w:pPr>
            <w:r>
              <w:rPr>
                <w:rFonts w:hint="eastAsia" w:ascii="Calibri" w:hAnsi="Calibri"/>
              </w:rPr>
              <w:t>增值税专用发票税率（6%）</w:t>
            </w:r>
          </w:p>
        </w:tc>
        <w:tc>
          <w:tcPr>
            <w:tcW w:w="2365" w:type="dxa"/>
            <w:vAlign w:val="center"/>
          </w:tcPr>
          <w:p>
            <w:pPr>
              <w:rPr>
                <w:rFonts w:ascii="Calibri" w:hAnsi="Calibri"/>
              </w:rPr>
            </w:pPr>
          </w:p>
        </w:tc>
        <w:tc>
          <w:tcPr>
            <w:tcW w:w="2365" w:type="dxa"/>
            <w:vAlign w:val="center"/>
          </w:tcPr>
          <w:p>
            <w:pPr>
              <w:rPr>
                <w:rFonts w:ascii="Calibri" w:hAnsi="Calibri"/>
              </w:rPr>
            </w:pPr>
          </w:p>
        </w:tc>
      </w:tr>
    </w:tbl>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r>
        <w:rPr>
          <w:rFonts w:hint="eastAsia" w:ascii="仿宋_GB2312" w:hAnsi="宋体" w:eastAsia="仿宋_GB2312"/>
          <w:bCs/>
          <w:szCs w:val="21"/>
        </w:rPr>
        <w:t>竞投人全称（公章）:</w:t>
      </w:r>
    </w:p>
    <w:p>
      <w:pPr>
        <w:tabs>
          <w:tab w:val="left" w:pos="3600"/>
        </w:tabs>
        <w:spacing w:line="400" w:lineRule="exact"/>
        <w:rPr>
          <w:rFonts w:ascii="仿宋_GB2312" w:hAnsi="宋体" w:eastAsia="仿宋_GB2312"/>
          <w:bCs/>
          <w:szCs w:val="21"/>
        </w:rPr>
      </w:pPr>
      <w:r>
        <w:rPr>
          <w:rFonts w:hint="eastAsia" w:ascii="仿宋_GB2312" w:hAnsi="宋体" w:eastAsia="仿宋_GB2312"/>
          <w:bCs/>
          <w:szCs w:val="21"/>
        </w:rPr>
        <w:t>法定代表人或其竞投人授权代表(</w:t>
      </w:r>
      <w:r>
        <w:rPr>
          <w:rFonts w:hint="eastAsia" w:ascii="仿宋_GB2312" w:hAnsi="宋体" w:eastAsia="仿宋_GB2312"/>
          <w:b/>
          <w:szCs w:val="21"/>
        </w:rPr>
        <w:t>签字</w:t>
      </w:r>
      <w:r>
        <w:rPr>
          <w:rFonts w:hint="eastAsia" w:ascii="仿宋_GB2312" w:hAnsi="宋体" w:eastAsia="仿宋_GB2312"/>
          <w:bCs/>
          <w:szCs w:val="21"/>
        </w:rPr>
        <w:t>)：</w:t>
      </w:r>
    </w:p>
    <w:p>
      <w:pPr>
        <w:spacing w:before="120" w:after="120" w:line="400" w:lineRule="exact"/>
        <w:rPr>
          <w:rFonts w:ascii="仿宋_GB2312" w:hAnsi="宋体" w:eastAsia="仿宋_GB2312"/>
          <w:bCs/>
          <w:szCs w:val="21"/>
        </w:rPr>
      </w:pPr>
      <w:r>
        <w:rPr>
          <w:rFonts w:hint="eastAsia" w:ascii="仿宋_GB2312" w:hAnsi="宋体" w:eastAsia="仿宋_GB2312"/>
          <w:bCs/>
          <w:szCs w:val="21"/>
        </w:rPr>
        <w:t>日    期：         年      月     日</w:t>
      </w:r>
    </w:p>
    <w:p>
      <w:pPr>
        <w:spacing w:line="400" w:lineRule="exact"/>
        <w:rPr>
          <w:rFonts w:ascii="Calibri" w:hAnsi="Calibri"/>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pStyle w:val="3"/>
        <w:rPr>
          <w:rFonts w:ascii="仿宋_GB2312" w:eastAsia="仿宋_GB2312"/>
          <w:sz w:val="21"/>
          <w:szCs w:val="21"/>
        </w:rPr>
      </w:pPr>
      <w:r>
        <w:rPr>
          <w:rFonts w:hint="eastAsia" w:ascii="仿宋_GB2312" w:eastAsia="仿宋_GB2312"/>
          <w:b w:val="0"/>
          <w:sz w:val="24"/>
          <w:szCs w:val="24"/>
        </w:rPr>
        <w:t>附件5</w:t>
      </w:r>
    </w:p>
    <w:p>
      <w:pPr>
        <w:keepNext/>
        <w:keepLines/>
        <w:spacing w:before="260" w:after="260" w:line="400" w:lineRule="exact"/>
        <w:jc w:val="center"/>
        <w:outlineLvl w:val="1"/>
        <w:rPr>
          <w:rFonts w:ascii="仿宋_GB2312" w:hAnsi="Arial" w:eastAsia="仿宋_GB2312"/>
          <w:b/>
          <w:bCs/>
          <w:sz w:val="32"/>
          <w:szCs w:val="32"/>
        </w:rPr>
      </w:pPr>
      <w:r>
        <w:rPr>
          <w:rFonts w:hint="eastAsia" w:ascii="仿宋_GB2312" w:hAnsi="宋体" w:eastAsia="仿宋_GB2312" w:cs="宋体"/>
          <w:b/>
          <w:bCs/>
          <w:sz w:val="32"/>
          <w:szCs w:val="32"/>
        </w:rPr>
        <w:t>竞投报价执行清单</w:t>
      </w:r>
    </w:p>
    <w:p>
      <w:pPr>
        <w:rPr>
          <w:rFonts w:ascii="仿宋_GB2312" w:hAnsi="宋体" w:eastAsia="仿宋_GB2312" w:cs="Tahoma"/>
          <w:kern w:val="28"/>
          <w:szCs w:val="21"/>
        </w:rPr>
      </w:pPr>
      <w:r>
        <w:rPr>
          <w:rFonts w:hint="eastAsia" w:ascii="仿宋_GB2312" w:hAnsi="宋体" w:eastAsia="仿宋_GB2312" w:cs="Tahoma"/>
          <w:szCs w:val="21"/>
        </w:rPr>
        <w:t>项目名称</w:t>
      </w:r>
      <w:r>
        <w:rPr>
          <w:rFonts w:hint="eastAsia" w:ascii="仿宋_GB2312" w:hAnsi="宋体" w:eastAsia="仿宋_GB2312" w:cs="Tahoma"/>
          <w:kern w:val="28"/>
          <w:szCs w:val="21"/>
        </w:rPr>
        <w:t>：</w:t>
      </w:r>
      <w:r>
        <w:rPr>
          <w:rFonts w:hint="eastAsia" w:ascii="仿宋" w:hAnsi="仿宋" w:eastAsia="仿宋"/>
          <w:szCs w:val="21"/>
        </w:rPr>
        <w:t>城隽雅苑北区项目公交车身广告服务</w:t>
      </w:r>
      <w:r>
        <w:rPr>
          <w:rFonts w:hint="eastAsia" w:ascii="仿宋_GB2312" w:hAnsi="宋体" w:eastAsia="仿宋_GB2312" w:cs="Tahoma"/>
          <w:kern w:val="28"/>
          <w:szCs w:val="21"/>
        </w:rPr>
        <w:t>项目</w:t>
      </w:r>
    </w:p>
    <w:tbl>
      <w:tblPr>
        <w:tblStyle w:val="11"/>
        <w:tblW w:w="9588" w:type="dxa"/>
        <w:tblInd w:w="93" w:type="dxa"/>
        <w:tblLayout w:type="fixed"/>
        <w:tblCellMar>
          <w:top w:w="0" w:type="dxa"/>
          <w:left w:w="108" w:type="dxa"/>
          <w:bottom w:w="0" w:type="dxa"/>
          <w:right w:w="108" w:type="dxa"/>
        </w:tblCellMar>
      </w:tblPr>
      <w:tblGrid>
        <w:gridCol w:w="397"/>
        <w:gridCol w:w="1319"/>
        <w:gridCol w:w="2367"/>
        <w:gridCol w:w="1376"/>
        <w:gridCol w:w="800"/>
        <w:gridCol w:w="719"/>
        <w:gridCol w:w="1282"/>
        <w:gridCol w:w="1328"/>
      </w:tblGrid>
      <w:tr>
        <w:tblPrEx>
          <w:tblCellMar>
            <w:top w:w="0" w:type="dxa"/>
            <w:left w:w="108" w:type="dxa"/>
            <w:bottom w:w="0" w:type="dxa"/>
            <w:right w:w="108" w:type="dxa"/>
          </w:tblCellMar>
        </w:tblPrEx>
        <w:trPr>
          <w:trHeight w:val="434" w:hRule="atLeast"/>
        </w:trPr>
        <w:tc>
          <w:tcPr>
            <w:tcW w:w="3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131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线路名称</w:t>
            </w:r>
          </w:p>
        </w:tc>
        <w:tc>
          <w:tcPr>
            <w:tcW w:w="23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起止终点</w:t>
            </w:r>
          </w:p>
        </w:tc>
        <w:tc>
          <w:tcPr>
            <w:tcW w:w="13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制作费     （月/辆元）</w:t>
            </w:r>
          </w:p>
        </w:tc>
        <w:tc>
          <w:tcPr>
            <w:tcW w:w="8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发布时间（月）</w:t>
            </w:r>
          </w:p>
        </w:tc>
        <w:tc>
          <w:tcPr>
            <w:tcW w:w="71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数量（辆）</w:t>
            </w:r>
          </w:p>
        </w:tc>
        <w:tc>
          <w:tcPr>
            <w:tcW w:w="12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发布费         （月/辆/元）</w:t>
            </w:r>
          </w:p>
        </w:tc>
        <w:tc>
          <w:tcPr>
            <w:tcW w:w="13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合计金额（元）</w:t>
            </w:r>
          </w:p>
        </w:tc>
      </w:tr>
      <w:tr>
        <w:tblPrEx>
          <w:tblCellMar>
            <w:top w:w="0" w:type="dxa"/>
            <w:left w:w="108" w:type="dxa"/>
            <w:bottom w:w="0" w:type="dxa"/>
            <w:right w:w="108" w:type="dxa"/>
          </w:tblCellMar>
        </w:tblPrEx>
        <w:trPr>
          <w:trHeight w:val="282" w:hRule="atLeast"/>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319"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302</w:t>
            </w:r>
          </w:p>
        </w:tc>
        <w:tc>
          <w:tcPr>
            <w:tcW w:w="23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广州火车东站总站 - 市桥汽车站总站(番禺) </w:t>
            </w:r>
          </w:p>
        </w:tc>
        <w:tc>
          <w:tcPr>
            <w:tcW w:w="1376"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80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719" w:type="dxa"/>
            <w:tcBorders>
              <w:top w:val="nil"/>
              <w:left w:val="nil"/>
              <w:bottom w:val="single" w:color="auto" w:sz="4" w:space="0"/>
              <w:right w:val="single" w:color="auto" w:sz="4" w:space="0"/>
            </w:tcBorders>
            <w:vAlign w:val="center"/>
          </w:tcPr>
          <w:p>
            <w:pPr>
              <w:jc w:val="center"/>
              <w:rPr>
                <w:rFonts w:ascii="宋体" w:hAnsi="宋体" w:cs="宋体"/>
                <w:bCs/>
                <w:color w:val="000000"/>
                <w:kern w:val="0"/>
                <w:sz w:val="18"/>
                <w:szCs w:val="18"/>
              </w:rPr>
            </w:pPr>
          </w:p>
        </w:tc>
        <w:tc>
          <w:tcPr>
            <w:tcW w:w="1282"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1328"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75" w:hRule="atLeast"/>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319"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305</w:t>
            </w:r>
          </w:p>
        </w:tc>
        <w:tc>
          <w:tcPr>
            <w:tcW w:w="23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罗冲围总站[松南路]-广州碧桂园(总站)</w:t>
            </w:r>
          </w:p>
        </w:tc>
        <w:tc>
          <w:tcPr>
            <w:tcW w:w="1376"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80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719" w:type="dxa"/>
            <w:tcBorders>
              <w:top w:val="nil"/>
              <w:left w:val="nil"/>
              <w:bottom w:val="single" w:color="auto" w:sz="4" w:space="0"/>
              <w:right w:val="single" w:color="auto" w:sz="4" w:space="0"/>
            </w:tcBorders>
            <w:vAlign w:val="center"/>
          </w:tcPr>
          <w:p>
            <w:pPr>
              <w:jc w:val="center"/>
              <w:rPr>
                <w:rFonts w:ascii="宋体" w:hAnsi="宋体" w:cs="宋体"/>
                <w:bCs/>
                <w:color w:val="000000"/>
                <w:kern w:val="0"/>
                <w:sz w:val="18"/>
                <w:szCs w:val="18"/>
              </w:rPr>
            </w:pPr>
          </w:p>
        </w:tc>
        <w:tc>
          <w:tcPr>
            <w:tcW w:w="1282"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1328"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75" w:hRule="atLeast"/>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319"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309</w:t>
            </w:r>
          </w:p>
        </w:tc>
        <w:tc>
          <w:tcPr>
            <w:tcW w:w="23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大石地铁站总站-滘口客运站总站</w:t>
            </w:r>
          </w:p>
        </w:tc>
        <w:tc>
          <w:tcPr>
            <w:tcW w:w="1376"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80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719" w:type="dxa"/>
            <w:tcBorders>
              <w:top w:val="nil"/>
              <w:left w:val="nil"/>
              <w:bottom w:val="single" w:color="auto" w:sz="4" w:space="0"/>
              <w:right w:val="single" w:color="auto" w:sz="4" w:space="0"/>
            </w:tcBorders>
            <w:vAlign w:val="center"/>
          </w:tcPr>
          <w:p>
            <w:pPr>
              <w:jc w:val="center"/>
              <w:rPr>
                <w:rFonts w:ascii="宋体" w:hAnsi="宋体" w:cs="宋体"/>
                <w:bCs/>
                <w:color w:val="000000"/>
                <w:kern w:val="0"/>
                <w:sz w:val="18"/>
                <w:szCs w:val="18"/>
              </w:rPr>
            </w:pPr>
          </w:p>
        </w:tc>
        <w:tc>
          <w:tcPr>
            <w:tcW w:w="1282"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1328"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75" w:hRule="atLeast"/>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319"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312</w:t>
            </w:r>
          </w:p>
        </w:tc>
        <w:tc>
          <w:tcPr>
            <w:tcW w:w="23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滘口客运站(总站)—祈福新邨总站</w:t>
            </w:r>
          </w:p>
        </w:tc>
        <w:tc>
          <w:tcPr>
            <w:tcW w:w="1376"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80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719" w:type="dxa"/>
            <w:tcBorders>
              <w:top w:val="nil"/>
              <w:left w:val="nil"/>
              <w:bottom w:val="single" w:color="auto" w:sz="4" w:space="0"/>
              <w:right w:val="single" w:color="auto" w:sz="4" w:space="0"/>
            </w:tcBorders>
            <w:vAlign w:val="center"/>
          </w:tcPr>
          <w:p>
            <w:pPr>
              <w:jc w:val="center"/>
            </w:pPr>
          </w:p>
        </w:tc>
        <w:tc>
          <w:tcPr>
            <w:tcW w:w="1282"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1328"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75" w:hRule="atLeast"/>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319"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301A</w:t>
            </w:r>
          </w:p>
        </w:tc>
        <w:tc>
          <w:tcPr>
            <w:tcW w:w="23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站前路总站(西郊大厦)-广州火车南站总站</w:t>
            </w:r>
          </w:p>
        </w:tc>
        <w:tc>
          <w:tcPr>
            <w:tcW w:w="1376"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80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719" w:type="dxa"/>
            <w:tcBorders>
              <w:top w:val="nil"/>
              <w:left w:val="nil"/>
              <w:bottom w:val="single" w:color="auto" w:sz="4" w:space="0"/>
              <w:right w:val="single" w:color="auto" w:sz="4" w:space="0"/>
            </w:tcBorders>
            <w:vAlign w:val="center"/>
          </w:tcPr>
          <w:p>
            <w:pPr>
              <w:jc w:val="center"/>
              <w:rPr>
                <w:rFonts w:ascii="宋体" w:hAnsi="宋体" w:cs="宋体"/>
                <w:bCs/>
                <w:color w:val="000000"/>
                <w:kern w:val="0"/>
                <w:sz w:val="18"/>
                <w:szCs w:val="18"/>
              </w:rPr>
            </w:pPr>
          </w:p>
        </w:tc>
        <w:tc>
          <w:tcPr>
            <w:tcW w:w="1282"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1328"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75" w:hRule="atLeast"/>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319"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303A</w:t>
            </w:r>
          </w:p>
        </w:tc>
        <w:tc>
          <w:tcPr>
            <w:tcW w:w="23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广州南站—天河客运站</w:t>
            </w:r>
          </w:p>
        </w:tc>
        <w:tc>
          <w:tcPr>
            <w:tcW w:w="1376"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80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719" w:type="dxa"/>
            <w:tcBorders>
              <w:top w:val="nil"/>
              <w:left w:val="nil"/>
              <w:bottom w:val="single" w:color="auto" w:sz="4" w:space="0"/>
              <w:right w:val="single" w:color="auto" w:sz="4" w:space="0"/>
            </w:tcBorders>
            <w:vAlign w:val="center"/>
          </w:tcPr>
          <w:p>
            <w:pPr>
              <w:jc w:val="center"/>
              <w:rPr>
                <w:rFonts w:ascii="宋体" w:hAnsi="宋体" w:cs="宋体"/>
                <w:bCs/>
                <w:color w:val="000000"/>
                <w:kern w:val="0"/>
                <w:sz w:val="18"/>
                <w:szCs w:val="18"/>
              </w:rPr>
            </w:pPr>
          </w:p>
        </w:tc>
        <w:tc>
          <w:tcPr>
            <w:tcW w:w="1282"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8"/>
                <w:szCs w:val="18"/>
              </w:rPr>
            </w:pPr>
          </w:p>
        </w:tc>
        <w:tc>
          <w:tcPr>
            <w:tcW w:w="1328"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75" w:hRule="atLeast"/>
        </w:trPr>
        <w:tc>
          <w:tcPr>
            <w:tcW w:w="40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3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1282"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1328"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r>
    </w:tbl>
    <w:p>
      <w:pPr>
        <w:spacing w:line="360" w:lineRule="auto"/>
        <w:rPr>
          <w:rFonts w:ascii="仿宋_GB2312" w:hAnsi="仿宋_GB2312" w:eastAsia="仿宋_GB2312" w:cs="仿宋_GB2312"/>
          <w:b/>
          <w:bCs/>
          <w:szCs w:val="21"/>
          <w:highlight w:val="yellow"/>
        </w:rPr>
      </w:pPr>
    </w:p>
    <w:p>
      <w:pPr>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备注：竞投单位在竞选公告期间已联系招选单位工作人员进行现场核实，位置经双方确认无误。</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注：1.此表为完成采购项目所有服务内容的总报价明细表，如有缺项、漏项，视为竞投报价中已包含相关费用，采购人无须另外支付任何费用；</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2.竞投人应按采购文件的要求，根据实际情况进行报价。本表内的竞投总价为最终报价，竞投文件内不得含有任何对本报价进行修改的其他说明，否则将被视为无效竞投；</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3.竞投总报价包括了竞投人完成本项目所需的一切工作内容而发生的所有费用；</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4.本竞投价为按实结算；</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5.报价以人民币元为单位，保留小数点后两位；</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6.本表格须附在正副的竞投文件中；</w:t>
      </w:r>
    </w:p>
    <w:p>
      <w:pPr>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7.本表格式仅作参考，竞投人的详细报价表格式可自定。</w:t>
      </w:r>
    </w:p>
    <w:p>
      <w:pPr>
        <w:spacing w:line="360" w:lineRule="auto"/>
        <w:jc w:val="left"/>
        <w:rPr>
          <w:rFonts w:ascii="仿宋_GB2312" w:hAnsi="仿宋_GB2312" w:eastAsia="仿宋_GB2312" w:cs="仿宋_GB2312"/>
          <w:szCs w:val="21"/>
        </w:rPr>
      </w:pPr>
    </w:p>
    <w:p>
      <w:pPr>
        <w:spacing w:line="440" w:lineRule="exact"/>
        <w:ind w:firstLine="210" w:firstLineChars="100"/>
        <w:rPr>
          <w:rFonts w:ascii="仿宋_GB2312" w:hAnsi="宋体" w:eastAsia="仿宋_GB2312"/>
          <w:bCs/>
          <w:szCs w:val="21"/>
        </w:rPr>
      </w:pPr>
      <w:r>
        <w:rPr>
          <w:rFonts w:hint="eastAsia" w:ascii="仿宋_GB2312" w:hAnsi="宋体" w:eastAsia="仿宋_GB2312"/>
          <w:bCs/>
          <w:szCs w:val="21"/>
        </w:rPr>
        <w:t>竞投人全称（公章）:</w:t>
      </w:r>
    </w:p>
    <w:p>
      <w:pPr>
        <w:tabs>
          <w:tab w:val="left" w:pos="3600"/>
        </w:tabs>
        <w:spacing w:line="440" w:lineRule="exact"/>
        <w:ind w:firstLine="210" w:firstLineChars="100"/>
        <w:rPr>
          <w:rFonts w:ascii="仿宋_GB2312" w:hAnsi="宋体" w:eastAsia="仿宋_GB2312"/>
          <w:bCs/>
          <w:szCs w:val="21"/>
        </w:rPr>
      </w:pPr>
      <w:r>
        <w:rPr>
          <w:rFonts w:hint="eastAsia" w:ascii="仿宋_GB2312" w:hAnsi="宋体" w:eastAsia="仿宋_GB2312"/>
          <w:bCs/>
          <w:szCs w:val="21"/>
        </w:rPr>
        <w:t>法定代表人或其竞投人授权代表(</w:t>
      </w:r>
      <w:r>
        <w:rPr>
          <w:rFonts w:hint="eastAsia" w:ascii="仿宋_GB2312" w:hAnsi="宋体" w:eastAsia="仿宋_GB2312"/>
          <w:szCs w:val="21"/>
        </w:rPr>
        <w:t>签字</w:t>
      </w:r>
      <w:r>
        <w:rPr>
          <w:rFonts w:hint="eastAsia" w:ascii="仿宋_GB2312" w:hAnsi="宋体" w:eastAsia="仿宋_GB2312"/>
          <w:bCs/>
          <w:szCs w:val="21"/>
        </w:rPr>
        <w:t>)：</w:t>
      </w:r>
    </w:p>
    <w:p>
      <w:pPr>
        <w:spacing w:before="120" w:after="120" w:line="440" w:lineRule="exact"/>
        <w:ind w:firstLine="210" w:firstLineChars="100"/>
        <w:rPr>
          <w:rFonts w:ascii="仿宋_GB2312" w:hAnsi="宋体" w:eastAsia="仿宋_GB2312"/>
          <w:bCs/>
          <w:szCs w:val="21"/>
        </w:rPr>
      </w:pPr>
      <w:r>
        <w:rPr>
          <w:rFonts w:hint="eastAsia" w:ascii="仿宋_GB2312" w:hAnsi="宋体" w:eastAsia="仿宋_GB2312"/>
          <w:bCs/>
          <w:szCs w:val="21"/>
        </w:rPr>
        <w:t>日    期：         年      月     日</w:t>
      </w:r>
    </w:p>
    <w:p>
      <w:pPr>
        <w:spacing w:before="120" w:after="120" w:line="440" w:lineRule="exact"/>
        <w:ind w:firstLine="210" w:firstLineChars="100"/>
        <w:rPr>
          <w:rFonts w:ascii="仿宋_GB2312" w:hAnsi="宋体" w:eastAsia="仿宋_GB2312"/>
          <w:bCs/>
          <w:szCs w:val="21"/>
        </w:rPr>
      </w:pPr>
    </w:p>
    <w:p>
      <w:pPr>
        <w:spacing w:before="120" w:after="120" w:line="440" w:lineRule="exact"/>
        <w:ind w:firstLine="210" w:firstLineChars="100"/>
        <w:rPr>
          <w:rFonts w:ascii="仿宋_GB2312" w:hAnsi="宋体" w:eastAsia="仿宋_GB2312"/>
          <w:bCs/>
          <w:szCs w:val="21"/>
        </w:rPr>
      </w:pPr>
    </w:p>
    <w:p>
      <w:pPr>
        <w:spacing w:before="120" w:after="120" w:line="440" w:lineRule="exact"/>
        <w:ind w:firstLine="210" w:firstLineChars="100"/>
        <w:rPr>
          <w:rFonts w:ascii="仿宋_GB2312" w:hAnsi="宋体" w:eastAsia="仿宋_GB2312"/>
          <w:bCs/>
          <w:szCs w:val="21"/>
        </w:rPr>
      </w:pPr>
    </w:p>
    <w:p>
      <w:pPr>
        <w:spacing w:before="120" w:after="120" w:line="440" w:lineRule="exact"/>
        <w:ind w:firstLine="210" w:firstLineChars="100"/>
        <w:rPr>
          <w:rFonts w:ascii="仿宋_GB2312" w:hAnsi="宋体" w:eastAsia="仿宋_GB2312"/>
          <w:bCs/>
          <w:szCs w:val="21"/>
        </w:rPr>
      </w:pPr>
    </w:p>
    <w:p>
      <w:pPr>
        <w:spacing w:before="120" w:after="120" w:line="440" w:lineRule="exact"/>
        <w:ind w:firstLine="210" w:firstLineChars="100"/>
        <w:rPr>
          <w:rFonts w:ascii="仿宋_GB2312" w:hAnsi="宋体" w:eastAsia="仿宋_GB2312"/>
          <w:bCs/>
          <w:szCs w:val="21"/>
        </w:rPr>
      </w:pPr>
    </w:p>
    <w:p>
      <w:pPr>
        <w:spacing w:before="120" w:after="120" w:line="440" w:lineRule="exact"/>
        <w:ind w:firstLine="210" w:firstLineChars="100"/>
        <w:rPr>
          <w:rFonts w:ascii="仿宋_GB2312" w:hAnsi="宋体" w:eastAsia="仿宋_GB2312"/>
          <w:bCs/>
          <w:szCs w:val="21"/>
        </w:rPr>
      </w:pPr>
    </w:p>
    <w:p>
      <w:pPr>
        <w:keepNext/>
        <w:keepLines/>
        <w:spacing w:before="260" w:after="260" w:line="400" w:lineRule="exact"/>
        <w:outlineLvl w:val="1"/>
        <w:rPr>
          <w:rFonts w:ascii="仿宋_GB2312" w:hAnsi="Arial" w:eastAsia="仿宋_GB2312"/>
          <w:bCs/>
          <w:sz w:val="24"/>
          <w:szCs w:val="32"/>
        </w:rPr>
      </w:pPr>
      <w:r>
        <w:rPr>
          <w:rFonts w:hint="eastAsia" w:ascii="仿宋_GB2312" w:hAnsi="Arial" w:eastAsia="仿宋_GB2312"/>
          <w:bCs/>
          <w:sz w:val="24"/>
        </w:rPr>
        <w:t>附件6</w:t>
      </w:r>
    </w:p>
    <w:p>
      <w:pPr>
        <w:keepNext/>
        <w:keepLines/>
        <w:spacing w:before="260" w:after="260" w:line="400" w:lineRule="exact"/>
        <w:jc w:val="center"/>
        <w:outlineLvl w:val="1"/>
        <w:rPr>
          <w:rFonts w:ascii="仿宋_GB2312" w:hAnsi="宋体" w:eastAsia="仿宋_GB2312" w:cs="宋体"/>
          <w:b/>
          <w:bCs/>
          <w:sz w:val="32"/>
          <w:szCs w:val="32"/>
        </w:rPr>
      </w:pPr>
      <w:r>
        <w:rPr>
          <w:rFonts w:hint="eastAsia" w:ascii="仿宋_GB2312" w:hAnsi="宋体" w:eastAsia="仿宋_GB2312" w:cs="宋体"/>
          <w:b/>
          <w:bCs/>
          <w:sz w:val="32"/>
          <w:szCs w:val="32"/>
        </w:rPr>
        <w:t>资格文件声明的函</w:t>
      </w:r>
    </w:p>
    <w:p>
      <w:pPr>
        <w:widowControl/>
        <w:tabs>
          <w:tab w:val="left" w:pos="7380"/>
        </w:tabs>
        <w:spacing w:line="480" w:lineRule="atLeast"/>
        <w:rPr>
          <w:rFonts w:ascii="宋体" w:hAnsi="宋体"/>
          <w:sz w:val="24"/>
        </w:rPr>
      </w:pPr>
    </w:p>
    <w:p>
      <w:pPr>
        <w:widowControl/>
        <w:tabs>
          <w:tab w:val="left" w:pos="7380"/>
        </w:tabs>
        <w:spacing w:line="480" w:lineRule="atLeast"/>
        <w:rPr>
          <w:rFonts w:ascii="仿宋_GB2312" w:hAnsi="宋体" w:eastAsia="仿宋_GB2312"/>
          <w:szCs w:val="21"/>
        </w:rPr>
      </w:pPr>
      <w:r>
        <w:rPr>
          <w:rFonts w:hint="eastAsia" w:ascii="仿宋_GB2312" w:hAnsi="宋体" w:eastAsia="仿宋_GB2312"/>
          <w:szCs w:val="21"/>
        </w:rPr>
        <w:t>广州市城壹房地产顾问有限公司：</w:t>
      </w:r>
    </w:p>
    <w:p>
      <w:pPr>
        <w:widowControl/>
        <w:tabs>
          <w:tab w:val="left" w:pos="7380"/>
        </w:tabs>
        <w:spacing w:line="480" w:lineRule="atLeast"/>
        <w:rPr>
          <w:rFonts w:ascii="仿宋_GB2312" w:hAnsi="宋体" w:eastAsia="仿宋_GB2312"/>
          <w:szCs w:val="21"/>
        </w:rPr>
      </w:pPr>
    </w:p>
    <w:p>
      <w:pPr>
        <w:spacing w:line="360" w:lineRule="auto"/>
        <w:rPr>
          <w:rFonts w:ascii="仿宋_GB2312" w:hAnsi="宋体" w:eastAsia="仿宋_GB2312"/>
          <w:szCs w:val="21"/>
        </w:rPr>
      </w:pPr>
      <w:r>
        <w:rPr>
          <w:rFonts w:hint="eastAsia" w:ascii="仿宋_GB2312" w:hAnsi="宋体" w:eastAsia="仿宋_GB2312"/>
          <w:szCs w:val="21"/>
        </w:rPr>
        <w:t>关于贵方</w:t>
      </w:r>
      <w:r>
        <w:rPr>
          <w:rFonts w:hint="eastAsia" w:ascii="仿宋_GB2312" w:hAnsi="宋体" w:eastAsia="仿宋_GB2312"/>
          <w:szCs w:val="21"/>
          <w:u w:val="single"/>
        </w:rPr>
        <w:t xml:space="preserve">                </w:t>
      </w:r>
      <w:r>
        <w:rPr>
          <w:rFonts w:hint="eastAsia" w:ascii="仿宋_GB2312" w:hAnsi="宋体" w:eastAsia="仿宋_GB2312"/>
          <w:szCs w:val="21"/>
        </w:rPr>
        <w:t>项目的竞选，本签字人愿意参加竞投，并证明提交的资格文件和说明是准确的和真实的，并对所提交的资格文件的准确性和真实性负责。</w:t>
      </w:r>
    </w:p>
    <w:p>
      <w:pPr>
        <w:widowControl/>
        <w:tabs>
          <w:tab w:val="left" w:pos="7380"/>
        </w:tabs>
        <w:spacing w:line="480" w:lineRule="atLeast"/>
        <w:rPr>
          <w:rFonts w:ascii="仿宋_GB2312" w:hAnsi="宋体" w:eastAsia="仿宋_GB2312"/>
          <w:szCs w:val="21"/>
        </w:rPr>
      </w:pPr>
      <w:r>
        <w:rPr>
          <w:rFonts w:hint="eastAsia" w:ascii="仿宋_GB2312" w:hAnsi="宋体" w:eastAsia="仿宋_GB2312"/>
          <w:szCs w:val="21"/>
        </w:rPr>
        <w:t>本竞投人授权贵方及本项目竞选人可以向我单位开户银行查询我单位的财务状况。</w:t>
      </w:r>
    </w:p>
    <w:p>
      <w:pPr>
        <w:tabs>
          <w:tab w:val="left" w:pos="7380"/>
        </w:tabs>
        <w:spacing w:line="300" w:lineRule="auto"/>
        <w:rPr>
          <w:rFonts w:ascii="仿宋_GB2312" w:hAnsi="宋体" w:eastAsia="仿宋_GB2312"/>
          <w:szCs w:val="21"/>
        </w:rPr>
      </w:pPr>
    </w:p>
    <w:p>
      <w:pPr>
        <w:tabs>
          <w:tab w:val="left" w:pos="7380"/>
        </w:tabs>
        <w:spacing w:line="300" w:lineRule="auto"/>
        <w:rPr>
          <w:rFonts w:ascii="仿宋_GB2312" w:hAnsi="宋体" w:eastAsia="仿宋_GB2312"/>
          <w:szCs w:val="21"/>
        </w:rPr>
      </w:pPr>
      <w:r>
        <w:rPr>
          <w:rFonts w:hint="eastAsia" w:ascii="仿宋_GB2312" w:hAnsi="宋体" w:eastAsia="仿宋_GB2312"/>
          <w:szCs w:val="21"/>
        </w:rPr>
        <w:t>承诺：</w:t>
      </w:r>
    </w:p>
    <w:p>
      <w:pPr>
        <w:spacing w:line="480" w:lineRule="exact"/>
        <w:rPr>
          <w:rFonts w:ascii="仿宋_GB2312" w:hAnsi="宋体" w:eastAsia="仿宋_GB2312"/>
          <w:szCs w:val="21"/>
        </w:rPr>
      </w:pPr>
      <w:r>
        <w:rPr>
          <w:rFonts w:hint="eastAsia" w:ascii="仿宋_GB2312" w:hAnsi="宋体" w:eastAsia="仿宋_GB2312"/>
          <w:szCs w:val="21"/>
        </w:rPr>
        <w:t>1）我司没有被责令停业或破产状态的；</w:t>
      </w:r>
    </w:p>
    <w:p>
      <w:pPr>
        <w:spacing w:line="480" w:lineRule="exact"/>
        <w:rPr>
          <w:rFonts w:ascii="仿宋_GB2312" w:hAnsi="宋体" w:eastAsia="仿宋_GB2312"/>
          <w:szCs w:val="21"/>
        </w:rPr>
      </w:pPr>
      <w:r>
        <w:rPr>
          <w:rFonts w:hint="eastAsia" w:ascii="仿宋_GB2312" w:hAnsi="宋体" w:eastAsia="仿宋_GB2312"/>
          <w:szCs w:val="21"/>
        </w:rPr>
        <w:t>2）我司没有被暂停或取消竞投资格的；</w:t>
      </w:r>
    </w:p>
    <w:p>
      <w:pPr>
        <w:spacing w:line="480" w:lineRule="exact"/>
        <w:rPr>
          <w:rFonts w:ascii="仿宋_GB2312" w:hAnsi="宋体" w:eastAsia="仿宋_GB2312"/>
          <w:szCs w:val="21"/>
        </w:rPr>
      </w:pPr>
      <w:r>
        <w:rPr>
          <w:rFonts w:hint="eastAsia" w:ascii="仿宋_GB2312" w:hAnsi="宋体" w:eastAsia="仿宋_GB2312"/>
          <w:szCs w:val="21"/>
        </w:rPr>
        <w:t>3）我司没有财产被重组、接管、查封、扣押或冻结的；</w:t>
      </w:r>
    </w:p>
    <w:p>
      <w:pPr>
        <w:spacing w:line="480" w:lineRule="exact"/>
        <w:rPr>
          <w:rFonts w:ascii="仿宋_GB2312" w:hAnsi="宋体" w:eastAsia="仿宋_GB2312"/>
          <w:szCs w:val="21"/>
        </w:rPr>
      </w:pPr>
      <w:r>
        <w:rPr>
          <w:rFonts w:hint="eastAsia" w:ascii="仿宋_GB2312" w:hAnsi="宋体" w:eastAsia="仿宋_GB2312"/>
          <w:szCs w:val="21"/>
        </w:rPr>
        <w:t>4）我司没有在营业期间有骗取中标或严重违约的；</w:t>
      </w:r>
    </w:p>
    <w:p>
      <w:pPr>
        <w:spacing w:line="480" w:lineRule="exact"/>
        <w:rPr>
          <w:rFonts w:ascii="仿宋_GB2312" w:hAnsi="宋体" w:eastAsia="仿宋_GB2312"/>
          <w:szCs w:val="21"/>
        </w:rPr>
      </w:pPr>
      <w:r>
        <w:rPr>
          <w:rFonts w:hint="eastAsia" w:ascii="仿宋_GB2312" w:hAnsi="宋体" w:eastAsia="仿宋_GB2312"/>
          <w:szCs w:val="21"/>
        </w:rPr>
        <w:t>5）我司（含与此申请人有资产关系的母子公司、关联公司）没有在政府、银行、酒店、旅游业及相关行业采购或服务中有不良记录的，其竞投产品在使用过程中出现过重大质量问题且未妥善解决的。</w:t>
      </w:r>
    </w:p>
    <w:p>
      <w:pPr>
        <w:tabs>
          <w:tab w:val="left" w:pos="7380"/>
        </w:tabs>
        <w:spacing w:line="300" w:lineRule="auto"/>
        <w:rPr>
          <w:rFonts w:ascii="仿宋_GB2312" w:hAnsi="宋体" w:eastAsia="仿宋_GB2312"/>
          <w:szCs w:val="21"/>
        </w:rPr>
      </w:pPr>
    </w:p>
    <w:p>
      <w:pPr>
        <w:spacing w:line="300" w:lineRule="auto"/>
        <w:rPr>
          <w:rFonts w:ascii="仿宋_GB2312" w:hAnsi="宋体" w:eastAsia="仿宋_GB2312"/>
          <w:szCs w:val="21"/>
        </w:rPr>
      </w:pPr>
      <w:r>
        <w:rPr>
          <w:rFonts w:hint="eastAsia" w:ascii="仿宋_GB2312" w:hAnsi="宋体" w:eastAsia="仿宋_GB2312"/>
          <w:szCs w:val="21"/>
        </w:rPr>
        <w:t>竞投人名称:</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（公章）</w:t>
      </w:r>
    </w:p>
    <w:p>
      <w:pPr>
        <w:spacing w:line="300" w:lineRule="auto"/>
        <w:rPr>
          <w:rFonts w:ascii="仿宋_GB2312" w:hAnsi="宋体" w:eastAsia="仿宋_GB2312"/>
          <w:szCs w:val="21"/>
        </w:rPr>
      </w:pPr>
    </w:p>
    <w:p>
      <w:pPr>
        <w:spacing w:line="300" w:lineRule="auto"/>
        <w:rPr>
          <w:rFonts w:ascii="仿宋_GB2312" w:hAnsi="宋体" w:eastAsia="仿宋_GB2312"/>
          <w:szCs w:val="21"/>
          <w:u w:val="single"/>
        </w:rPr>
      </w:pPr>
      <w:r>
        <w:rPr>
          <w:rFonts w:hint="eastAsia" w:ascii="仿宋_GB2312" w:hAnsi="宋体" w:eastAsia="仿宋_GB2312"/>
        </w:rPr>
        <w:t>竞投人授权代表签字</w:t>
      </w:r>
      <w:r>
        <w:rPr>
          <w:rFonts w:hint="eastAsia" w:ascii="仿宋_GB2312" w:hAnsi="宋体" w:eastAsia="仿宋_GB2312"/>
          <w:szCs w:val="21"/>
        </w:rPr>
        <w:t>（签名）：</w:t>
      </w:r>
      <w:r>
        <w:rPr>
          <w:rFonts w:hint="eastAsia" w:ascii="仿宋_GB2312" w:hAnsi="宋体" w:eastAsia="仿宋_GB2312"/>
          <w:szCs w:val="21"/>
          <w:u w:val="single"/>
        </w:rPr>
        <w:t xml:space="preserve">                  </w:t>
      </w:r>
    </w:p>
    <w:p>
      <w:pPr>
        <w:spacing w:line="300" w:lineRule="auto"/>
        <w:rPr>
          <w:rFonts w:ascii="仿宋_GB2312" w:hAnsi="宋体" w:eastAsia="仿宋_GB2312"/>
          <w:szCs w:val="21"/>
          <w:u w:val="single"/>
        </w:rPr>
      </w:pPr>
    </w:p>
    <w:p>
      <w:pPr>
        <w:spacing w:line="300" w:lineRule="auto"/>
        <w:rPr>
          <w:rFonts w:ascii="仿宋_GB2312" w:hAnsi="宋体" w:eastAsia="仿宋_GB2312"/>
          <w:szCs w:val="21"/>
        </w:rPr>
      </w:pPr>
      <w:r>
        <w:rPr>
          <w:rFonts w:hint="eastAsia" w:ascii="仿宋_GB2312" w:hAnsi="宋体" w:eastAsia="仿宋_GB2312"/>
          <w:szCs w:val="21"/>
        </w:rPr>
        <w:t>日期：  年   月   日</w:t>
      </w:r>
    </w:p>
    <w:p>
      <w:pPr>
        <w:spacing w:line="300" w:lineRule="auto"/>
        <w:rPr>
          <w:rFonts w:ascii="宋体" w:hAnsi="宋体"/>
          <w:sz w:val="24"/>
        </w:rPr>
      </w:pPr>
    </w:p>
    <w:p>
      <w:pPr>
        <w:rPr>
          <w:rFonts w:ascii="仿宋_GB2312" w:eastAsia="仿宋_GB2312"/>
          <w:szCs w:val="21"/>
        </w:rPr>
      </w:pPr>
      <w:r>
        <w:rPr>
          <w:rFonts w:ascii="宋体" w:hAnsi="宋体" w:eastAsia="黑体"/>
          <w:b/>
          <w:bCs/>
          <w:sz w:val="24"/>
          <w:szCs w:val="32"/>
        </w:rPr>
        <w:br w:type="page"/>
      </w:r>
      <w:r>
        <w:rPr>
          <w:rFonts w:hint="eastAsia" w:ascii="仿宋_GB2312" w:eastAsia="仿宋_GB2312"/>
          <w:sz w:val="24"/>
        </w:rPr>
        <w:t>附件7：其他资料</w:t>
      </w:r>
    </w:p>
    <w:p>
      <w:pPr>
        <w:widowControl/>
        <w:spacing w:line="440" w:lineRule="exact"/>
        <w:ind w:left="88" w:leftChars="42"/>
        <w:rPr>
          <w:rFonts w:ascii="仿宋_GB2312" w:eastAsia="仿宋_GB2312"/>
        </w:rPr>
      </w:pPr>
      <w:r>
        <w:rPr>
          <w:rFonts w:hint="eastAsia" w:ascii="仿宋_GB2312" w:eastAsia="仿宋_GB2312"/>
        </w:rPr>
        <w:t xml:space="preserve">          </w:t>
      </w:r>
    </w:p>
    <w:p>
      <w:pPr>
        <w:keepNext/>
        <w:keepLines/>
        <w:spacing w:before="260" w:after="260" w:line="400" w:lineRule="exact"/>
        <w:jc w:val="center"/>
        <w:outlineLvl w:val="1"/>
        <w:rPr>
          <w:rFonts w:ascii="宋体" w:hAnsi="宋体" w:eastAsia="黑体"/>
          <w:b/>
          <w:bCs/>
          <w:sz w:val="28"/>
          <w:szCs w:val="28"/>
        </w:rPr>
      </w:pPr>
      <w:r>
        <w:rPr>
          <w:rFonts w:hint="eastAsia" w:ascii="仿宋_GB2312" w:hAnsi="宋体" w:eastAsia="仿宋_GB2312" w:cs="宋体"/>
          <w:b/>
          <w:bCs/>
          <w:sz w:val="32"/>
          <w:szCs w:val="32"/>
        </w:rPr>
        <w:t>业绩一览表</w:t>
      </w:r>
    </w:p>
    <w:p>
      <w:pPr>
        <w:spacing w:line="400" w:lineRule="exact"/>
        <w:jc w:val="center"/>
        <w:rPr>
          <w:rFonts w:ascii="宋体" w:hAnsi="宋体"/>
          <w:b/>
          <w:bCs/>
          <w:sz w:val="28"/>
          <w:szCs w:val="28"/>
        </w:rPr>
      </w:pPr>
    </w:p>
    <w:tbl>
      <w:tblPr>
        <w:tblStyle w:val="11"/>
        <w:tblW w:w="90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559"/>
        <w:gridCol w:w="1488"/>
        <w:gridCol w:w="2197"/>
        <w:gridCol w:w="1210"/>
        <w:gridCol w:w="18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81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b/>
                <w:bCs/>
                <w:sz w:val="24"/>
              </w:rPr>
            </w:pPr>
            <w:r>
              <w:rPr>
                <w:rFonts w:hint="eastAsia" w:ascii="宋体" w:hAnsi="宋体" w:cs="Arial"/>
                <w:b/>
                <w:bCs/>
                <w:sz w:val="24"/>
              </w:rPr>
              <w:t>序号</w:t>
            </w:r>
          </w:p>
        </w:tc>
        <w:tc>
          <w:tcPr>
            <w:tcW w:w="155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b/>
                <w:bCs/>
                <w:sz w:val="24"/>
              </w:rPr>
            </w:pPr>
            <w:r>
              <w:rPr>
                <w:rFonts w:hint="eastAsia" w:ascii="宋体" w:hAnsi="宋体" w:cs="Arial"/>
                <w:b/>
                <w:bCs/>
                <w:sz w:val="24"/>
              </w:rPr>
              <w:t>客户名称</w:t>
            </w:r>
          </w:p>
        </w:tc>
        <w:tc>
          <w:tcPr>
            <w:tcW w:w="148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b/>
                <w:bCs/>
                <w:sz w:val="24"/>
              </w:rPr>
            </w:pPr>
            <w:r>
              <w:rPr>
                <w:rFonts w:hint="eastAsia" w:ascii="宋体" w:hAnsi="宋体" w:cs="Arial"/>
                <w:b/>
                <w:bCs/>
                <w:sz w:val="24"/>
              </w:rPr>
              <w:t>项目名称</w:t>
            </w:r>
          </w:p>
        </w:tc>
        <w:tc>
          <w:tcPr>
            <w:tcW w:w="219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b/>
                <w:bCs/>
                <w:sz w:val="24"/>
              </w:rPr>
            </w:pPr>
            <w:r>
              <w:rPr>
                <w:rFonts w:hint="eastAsia" w:ascii="宋体" w:hAnsi="宋体" w:cs="Arial"/>
                <w:b/>
                <w:bCs/>
                <w:sz w:val="24"/>
              </w:rPr>
              <w:t>合同总价（含税）</w:t>
            </w:r>
          </w:p>
        </w:tc>
        <w:tc>
          <w:tcPr>
            <w:tcW w:w="121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b/>
                <w:bCs/>
                <w:sz w:val="24"/>
              </w:rPr>
            </w:pPr>
            <w:r>
              <w:rPr>
                <w:rFonts w:hint="eastAsia" w:ascii="宋体" w:hAnsi="宋体" w:cs="Arial"/>
                <w:b/>
                <w:bCs/>
                <w:sz w:val="24"/>
              </w:rPr>
              <w:t>签约时间</w:t>
            </w:r>
          </w:p>
        </w:tc>
        <w:tc>
          <w:tcPr>
            <w:tcW w:w="181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b/>
                <w:bCs/>
                <w:sz w:val="24"/>
              </w:rPr>
            </w:pPr>
            <w:r>
              <w:rPr>
                <w:rFonts w:hint="eastAsia" w:ascii="宋体" w:hAnsi="宋体" w:cs="Arial"/>
                <w:b/>
                <w:bCs/>
                <w:sz w:val="24"/>
              </w:rPr>
              <w:t>项目验收情况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ascii="宋体" w:hAnsi="宋体" w:cs="Arial"/>
                <w:sz w:val="24"/>
              </w:rPr>
            </w:pPr>
            <w:r>
              <w:rPr>
                <w:rFonts w:hint="eastAsia" w:ascii="宋体" w:hAnsi="宋体" w:cs="Arial"/>
                <w:sz w:val="24"/>
              </w:rPr>
              <w:t>1</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ascii="宋体" w:hAnsi="宋体" w:cs="Arial"/>
                <w:sz w:val="24"/>
              </w:rPr>
            </w:pPr>
            <w:r>
              <w:rPr>
                <w:rFonts w:hint="eastAsia" w:ascii="宋体" w:hAnsi="宋体" w:cs="Arial"/>
                <w:sz w:val="24"/>
              </w:rPr>
              <w:t>2</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ascii="仿宋_GB2312" w:hAnsi="宋体" w:eastAsia="仿宋_GB2312" w:cs="Arial"/>
                <w:sz w:val="24"/>
              </w:rPr>
            </w:pPr>
            <w:r>
              <w:rPr>
                <w:rFonts w:hint="eastAsia" w:ascii="仿宋_GB2312" w:hAnsi="宋体" w:eastAsia="仿宋_GB2312" w:cs="Arial"/>
                <w:sz w:val="24"/>
              </w:rPr>
              <w:t>…</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rPr>
            </w:pPr>
          </w:p>
        </w:tc>
      </w:tr>
    </w:tbl>
    <w:p>
      <w:pPr>
        <w:spacing w:line="400" w:lineRule="exact"/>
        <w:rPr>
          <w:rFonts w:ascii="仿宋_GB2312" w:hAnsi="宋体" w:eastAsia="仿宋_GB2312"/>
        </w:rPr>
      </w:pPr>
      <w:r>
        <w:rPr>
          <w:rFonts w:hint="eastAsia" w:ascii="仿宋_GB2312" w:hAnsi="宋体" w:eastAsia="仿宋_GB2312"/>
        </w:rPr>
        <w:t>注：依据业绩评审中的业绩要求填写本表，提供相关证明材料及过往业绩，合同可只提供首页、含金额页、盖章页。如无同类型服务项目经验，请填上“无同类型服务项目经验”并加盖公章。</w:t>
      </w:r>
    </w:p>
    <w:p>
      <w:pPr>
        <w:spacing w:line="400" w:lineRule="exact"/>
        <w:rPr>
          <w:rFonts w:ascii="仿宋_GB2312" w:hAnsi="宋体" w:eastAsia="仿宋_GB2312"/>
          <w:szCs w:val="21"/>
        </w:rPr>
      </w:pPr>
    </w:p>
    <w:p>
      <w:pPr>
        <w:spacing w:line="400" w:lineRule="exact"/>
        <w:rPr>
          <w:rFonts w:ascii="仿宋_GB2312" w:hAnsi="宋体" w:eastAsia="仿宋_GB2312"/>
          <w:szCs w:val="21"/>
        </w:rPr>
      </w:pPr>
    </w:p>
    <w:p>
      <w:pPr>
        <w:spacing w:line="400" w:lineRule="exact"/>
        <w:rPr>
          <w:rFonts w:ascii="仿宋_GB2312" w:hAnsi="宋体" w:eastAsia="仿宋_GB2312"/>
          <w:szCs w:val="21"/>
        </w:rPr>
      </w:pPr>
      <w:r>
        <w:rPr>
          <w:rFonts w:hint="eastAsia" w:ascii="仿宋" w:hAnsi="仿宋" w:eastAsia="仿宋"/>
          <w:szCs w:val="21"/>
        </w:rPr>
        <w:t>竞投</w:t>
      </w:r>
      <w:r>
        <w:rPr>
          <w:rFonts w:hint="eastAsia" w:ascii="仿宋_GB2312" w:hAnsi="宋体" w:eastAsia="仿宋_GB2312"/>
          <w:szCs w:val="21"/>
        </w:rPr>
        <w:t xml:space="preserve">人名称: </w:t>
      </w:r>
      <w:r>
        <w:rPr>
          <w:rFonts w:hint="eastAsia" w:ascii="仿宋_GB2312" w:hAnsi="宋体" w:eastAsia="仿宋_GB2312"/>
          <w:szCs w:val="21"/>
          <w:u w:val="single"/>
        </w:rPr>
        <w:t xml:space="preserve">                     </w:t>
      </w:r>
      <w:r>
        <w:rPr>
          <w:rFonts w:hint="eastAsia" w:ascii="仿宋_GB2312" w:hAnsi="宋体" w:eastAsia="仿宋_GB2312"/>
          <w:szCs w:val="21"/>
        </w:rPr>
        <w:t>（公章）</w:t>
      </w:r>
    </w:p>
    <w:p>
      <w:pPr>
        <w:spacing w:line="400" w:lineRule="exact"/>
        <w:rPr>
          <w:rFonts w:ascii="仿宋_GB2312" w:hAnsi="宋体" w:eastAsia="仿宋_GB2312"/>
          <w:szCs w:val="21"/>
        </w:rPr>
      </w:pPr>
    </w:p>
    <w:p>
      <w:pPr>
        <w:spacing w:line="400" w:lineRule="exact"/>
        <w:rPr>
          <w:rFonts w:ascii="仿宋_GB2312" w:hAnsi="宋体" w:eastAsia="仿宋_GB2312"/>
          <w:szCs w:val="21"/>
          <w:u w:val="single"/>
        </w:rPr>
      </w:pPr>
      <w:r>
        <w:rPr>
          <w:rFonts w:hint="eastAsia" w:ascii="仿宋" w:hAnsi="仿宋" w:eastAsia="仿宋"/>
          <w:szCs w:val="21"/>
        </w:rPr>
        <w:t>竞投</w:t>
      </w:r>
      <w:r>
        <w:rPr>
          <w:rFonts w:hint="eastAsia" w:ascii="仿宋_GB2312" w:hAnsi="宋体" w:eastAsia="仿宋_GB2312"/>
        </w:rPr>
        <w:t>人授权代表签字</w:t>
      </w:r>
      <w:r>
        <w:rPr>
          <w:rFonts w:hint="eastAsia" w:ascii="仿宋_GB2312" w:hAnsi="宋体" w:eastAsia="仿宋_GB2312"/>
          <w:szCs w:val="21"/>
        </w:rPr>
        <w:t>（签名）：</w:t>
      </w:r>
      <w:r>
        <w:rPr>
          <w:rFonts w:hint="eastAsia" w:ascii="仿宋_GB2312" w:hAnsi="宋体" w:eastAsia="仿宋_GB2312"/>
          <w:szCs w:val="21"/>
          <w:u w:val="single"/>
        </w:rPr>
        <w:t xml:space="preserve">               </w:t>
      </w:r>
    </w:p>
    <w:p>
      <w:pPr>
        <w:spacing w:line="400" w:lineRule="exact"/>
        <w:rPr>
          <w:rFonts w:ascii="仿宋_GB2312" w:hAnsi="宋体" w:eastAsia="仿宋_GB2312"/>
          <w:szCs w:val="21"/>
          <w:u w:val="single"/>
        </w:rPr>
      </w:pPr>
    </w:p>
    <w:p>
      <w:pPr>
        <w:spacing w:line="400" w:lineRule="exact"/>
        <w:rPr>
          <w:rFonts w:ascii="仿宋_GB2312" w:hAnsi="宋体" w:eastAsia="仿宋_GB2312"/>
        </w:rPr>
      </w:pPr>
      <w:r>
        <w:rPr>
          <w:rFonts w:hint="eastAsia" w:ascii="仿宋_GB2312" w:hAnsi="宋体" w:eastAsia="仿宋_GB2312"/>
        </w:rPr>
        <w:t>日期：  年   月   日</w:t>
      </w:r>
    </w:p>
    <w:p>
      <w:pPr>
        <w:spacing w:line="400" w:lineRule="exact"/>
        <w:rPr>
          <w:rFonts w:ascii="宋体" w:hAnsi="宋体"/>
        </w:rPr>
      </w:pPr>
    </w:p>
    <w:p>
      <w:pPr>
        <w:widowControl/>
        <w:spacing w:before="120" w:after="120" w:line="440" w:lineRule="exact"/>
        <w:rPr>
          <w:rFonts w:ascii="仿宋_GB2312" w:eastAsia="仿宋_GB2312"/>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dobe 楷体 Std R">
    <w:altName w:val="宋体"/>
    <w:panose1 w:val="000000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幼圆">
    <w:altName w:val="宋体"/>
    <w:panose1 w:val="0201050906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106BC9"/>
    <w:multiLevelType w:val="singleLevel"/>
    <w:tmpl w:val="CC106BC9"/>
    <w:lvl w:ilvl="0" w:tentative="0">
      <w:start w:val="9"/>
      <w:numFmt w:val="chineseCounting"/>
      <w:suff w:val="nothing"/>
      <w:lvlText w:val="%1、"/>
      <w:lvlJc w:val="left"/>
      <w:rPr>
        <w:rFonts w:hint="eastAsia"/>
      </w:rPr>
    </w:lvl>
  </w:abstractNum>
  <w:abstractNum w:abstractNumId="1">
    <w:nsid w:val="1EAF5D8A"/>
    <w:multiLevelType w:val="multilevel"/>
    <w:tmpl w:val="1EAF5D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285C879"/>
    <w:multiLevelType w:val="singleLevel"/>
    <w:tmpl w:val="5285C879"/>
    <w:lvl w:ilvl="0" w:tentative="0">
      <w:start w:val="1"/>
      <w:numFmt w:val="decimal"/>
      <w:lvlText w:val="%1."/>
      <w:lvlJc w:val="left"/>
      <w:pPr>
        <w:tabs>
          <w:tab w:val="left" w:pos="425"/>
        </w:tabs>
        <w:ind w:left="425" w:hanging="425"/>
      </w:pPr>
      <w:rPr>
        <w:rFonts w:hint="default"/>
      </w:rPr>
    </w:lvl>
  </w:abstractNum>
  <w:abstractNum w:abstractNumId="3">
    <w:nsid w:val="620115C1"/>
    <w:multiLevelType w:val="singleLevel"/>
    <w:tmpl w:val="620115C1"/>
    <w:lvl w:ilvl="0" w:tentative="0">
      <w:start w:val="1"/>
      <w:numFmt w:val="chineseCounting"/>
      <w:suff w:val="nothing"/>
      <w:lvlText w:val="%1、"/>
      <w:lvlJc w:val="left"/>
      <w:rPr>
        <w:rFonts w:hint="eastAsia"/>
      </w:rPr>
    </w:lvl>
  </w:abstractNum>
  <w:abstractNum w:abstractNumId="4">
    <w:nsid w:val="6BEC0C82"/>
    <w:multiLevelType w:val="multilevel"/>
    <w:tmpl w:val="6BEC0C82"/>
    <w:lvl w:ilvl="0" w:tentative="0">
      <w:start w:val="1"/>
      <w:numFmt w:val="low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hMTg3YzdmMWJjMTczNjYwYTBiZmEyZWIwMzExY2EifQ=="/>
  </w:docVars>
  <w:rsids>
    <w:rsidRoot w:val="00A7327B"/>
    <w:rsid w:val="00013536"/>
    <w:rsid w:val="00033F48"/>
    <w:rsid w:val="00073D41"/>
    <w:rsid w:val="00080639"/>
    <w:rsid w:val="001600A9"/>
    <w:rsid w:val="00172AB6"/>
    <w:rsid w:val="0018339B"/>
    <w:rsid w:val="001B7D0D"/>
    <w:rsid w:val="002270D0"/>
    <w:rsid w:val="002301CE"/>
    <w:rsid w:val="00266C20"/>
    <w:rsid w:val="00276EBF"/>
    <w:rsid w:val="0028315E"/>
    <w:rsid w:val="00343F5C"/>
    <w:rsid w:val="003C7F1E"/>
    <w:rsid w:val="003E53D5"/>
    <w:rsid w:val="003F3EAC"/>
    <w:rsid w:val="00443264"/>
    <w:rsid w:val="004521B7"/>
    <w:rsid w:val="004A536D"/>
    <w:rsid w:val="0050219E"/>
    <w:rsid w:val="00556797"/>
    <w:rsid w:val="005D6334"/>
    <w:rsid w:val="005E73A7"/>
    <w:rsid w:val="005F37BC"/>
    <w:rsid w:val="00612376"/>
    <w:rsid w:val="00616977"/>
    <w:rsid w:val="0065265C"/>
    <w:rsid w:val="006A2511"/>
    <w:rsid w:val="006A7E6A"/>
    <w:rsid w:val="006F46AA"/>
    <w:rsid w:val="0072258B"/>
    <w:rsid w:val="00770BB7"/>
    <w:rsid w:val="0077736E"/>
    <w:rsid w:val="00786EFB"/>
    <w:rsid w:val="007870CE"/>
    <w:rsid w:val="00797F8E"/>
    <w:rsid w:val="007A74E0"/>
    <w:rsid w:val="007C3A13"/>
    <w:rsid w:val="00810D79"/>
    <w:rsid w:val="0081416A"/>
    <w:rsid w:val="008C6760"/>
    <w:rsid w:val="0090760A"/>
    <w:rsid w:val="009726F2"/>
    <w:rsid w:val="00995D25"/>
    <w:rsid w:val="009B3457"/>
    <w:rsid w:val="00A310AB"/>
    <w:rsid w:val="00A7327B"/>
    <w:rsid w:val="00A84E79"/>
    <w:rsid w:val="00AA5458"/>
    <w:rsid w:val="00AD11B0"/>
    <w:rsid w:val="00AD65BD"/>
    <w:rsid w:val="00AE1756"/>
    <w:rsid w:val="00AF3D68"/>
    <w:rsid w:val="00B11DE2"/>
    <w:rsid w:val="00BB7A2F"/>
    <w:rsid w:val="00BF675F"/>
    <w:rsid w:val="00C92E68"/>
    <w:rsid w:val="00CA39FE"/>
    <w:rsid w:val="00CC1843"/>
    <w:rsid w:val="00CC1E84"/>
    <w:rsid w:val="00CC794A"/>
    <w:rsid w:val="00D419D7"/>
    <w:rsid w:val="00E2550B"/>
    <w:rsid w:val="00E52182"/>
    <w:rsid w:val="00EC6A86"/>
    <w:rsid w:val="00ED7045"/>
    <w:rsid w:val="00F2654D"/>
    <w:rsid w:val="00F6467A"/>
    <w:rsid w:val="01026A67"/>
    <w:rsid w:val="046A5530"/>
    <w:rsid w:val="05811AC3"/>
    <w:rsid w:val="0C6F1ECE"/>
    <w:rsid w:val="0CC85974"/>
    <w:rsid w:val="0D420839"/>
    <w:rsid w:val="11666DE8"/>
    <w:rsid w:val="14462D84"/>
    <w:rsid w:val="174A2036"/>
    <w:rsid w:val="1DAC2255"/>
    <w:rsid w:val="1DC225C9"/>
    <w:rsid w:val="1EEF4F06"/>
    <w:rsid w:val="21486D09"/>
    <w:rsid w:val="21681C9D"/>
    <w:rsid w:val="23CA2C9B"/>
    <w:rsid w:val="28014C3F"/>
    <w:rsid w:val="2DA054C0"/>
    <w:rsid w:val="34812900"/>
    <w:rsid w:val="3732195D"/>
    <w:rsid w:val="389307F0"/>
    <w:rsid w:val="38D95ED0"/>
    <w:rsid w:val="3AF73237"/>
    <w:rsid w:val="3E892BF7"/>
    <w:rsid w:val="4497022A"/>
    <w:rsid w:val="44DE3F75"/>
    <w:rsid w:val="480B71C9"/>
    <w:rsid w:val="4E2375DE"/>
    <w:rsid w:val="527C0F92"/>
    <w:rsid w:val="642876A2"/>
    <w:rsid w:val="677D186B"/>
    <w:rsid w:val="6B0C3803"/>
    <w:rsid w:val="6B863CA9"/>
    <w:rsid w:val="6CE07597"/>
    <w:rsid w:val="719A1802"/>
    <w:rsid w:val="75033D8C"/>
    <w:rsid w:val="775A3168"/>
    <w:rsid w:val="7A8376CE"/>
    <w:rsid w:val="7EF4254F"/>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8"/>
    <w:qFormat/>
    <w:uiPriority w:val="99"/>
    <w:pPr>
      <w:jc w:val="left"/>
    </w:pPr>
    <w:rPr>
      <w:rFonts w:asciiTheme="minorHAnsi" w:hAnsiTheme="minorHAnsi" w:cstheme="minorBidi"/>
    </w:rPr>
  </w:style>
  <w:style w:type="paragraph" w:styleId="5">
    <w:name w:val="Body Text"/>
    <w:basedOn w:val="1"/>
    <w:link w:val="29"/>
    <w:unhideWhenUsed/>
    <w:qFormat/>
    <w:uiPriority w:val="99"/>
    <w:pPr>
      <w:spacing w:after="120"/>
    </w:pPr>
  </w:style>
  <w:style w:type="paragraph" w:styleId="6">
    <w:name w:val="Body Text Indent"/>
    <w:basedOn w:val="1"/>
    <w:link w:val="20"/>
    <w:qFormat/>
    <w:uiPriority w:val="0"/>
    <w:pPr>
      <w:ind w:firstLine="570"/>
    </w:pPr>
    <w:rPr>
      <w:rFonts w:ascii="宋体" w:hAnsi="宋体" w:cstheme="minorBidi"/>
      <w:sz w:val="28"/>
      <w:szCs w:val="22"/>
    </w:rPr>
  </w:style>
  <w:style w:type="paragraph" w:styleId="7">
    <w:name w:val="Plain Text"/>
    <w:basedOn w:val="1"/>
    <w:link w:val="19"/>
    <w:qFormat/>
    <w:uiPriority w:val="0"/>
    <w:pPr>
      <w:spacing w:line="360" w:lineRule="auto"/>
      <w:ind w:firstLine="510"/>
    </w:pPr>
    <w:rPr>
      <w:rFonts w:ascii="宋体" w:hAnsi="Courier New" w:cstheme="minorBidi"/>
      <w:sz w:val="24"/>
      <w:szCs w:val="22"/>
    </w:rPr>
  </w:style>
  <w:style w:type="paragraph" w:styleId="8">
    <w:name w:val="Balloon Text"/>
    <w:basedOn w:val="1"/>
    <w:link w:val="30"/>
    <w:semiHidden/>
    <w:unhideWhenUsed/>
    <w:qFormat/>
    <w:uiPriority w:val="99"/>
    <w:rPr>
      <w:sz w:val="18"/>
      <w:szCs w:val="18"/>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13">
    <w:name w:val="annotation reference"/>
    <w:basedOn w:val="12"/>
    <w:semiHidden/>
    <w:unhideWhenUsed/>
    <w:qFormat/>
    <w:uiPriority w:val="99"/>
    <w:rPr>
      <w:sz w:val="21"/>
      <w:szCs w:val="21"/>
    </w:rPr>
  </w:style>
  <w:style w:type="character" w:customStyle="1" w:styleId="14">
    <w:name w:val="页眉 字符"/>
    <w:basedOn w:val="12"/>
    <w:link w:val="10"/>
    <w:qFormat/>
    <w:uiPriority w:val="99"/>
    <w:rPr>
      <w:sz w:val="18"/>
      <w:szCs w:val="18"/>
    </w:rPr>
  </w:style>
  <w:style w:type="character" w:customStyle="1" w:styleId="15">
    <w:name w:val="页脚 字符"/>
    <w:basedOn w:val="12"/>
    <w:link w:val="9"/>
    <w:qFormat/>
    <w:uiPriority w:val="99"/>
    <w:rPr>
      <w:sz w:val="18"/>
      <w:szCs w:val="18"/>
    </w:rPr>
  </w:style>
  <w:style w:type="character" w:customStyle="1" w:styleId="16">
    <w:name w:val="标题 1 字符"/>
    <w:basedOn w:val="12"/>
    <w:link w:val="2"/>
    <w:qFormat/>
    <w:uiPriority w:val="0"/>
    <w:rPr>
      <w:rFonts w:ascii="Times New Roman" w:hAnsi="Times New Roman" w:eastAsia="宋体" w:cs="Times New Roman"/>
      <w:b/>
      <w:bCs/>
      <w:kern w:val="44"/>
      <w:sz w:val="44"/>
      <w:szCs w:val="44"/>
    </w:rPr>
  </w:style>
  <w:style w:type="character" w:customStyle="1" w:styleId="17">
    <w:name w:val="标题 2 字符"/>
    <w:basedOn w:val="12"/>
    <w:link w:val="3"/>
    <w:qFormat/>
    <w:uiPriority w:val="0"/>
    <w:rPr>
      <w:rFonts w:ascii="Arial" w:hAnsi="Arial" w:eastAsia="黑体" w:cs="Times New Roman"/>
      <w:b/>
      <w:bCs/>
      <w:sz w:val="32"/>
      <w:szCs w:val="32"/>
    </w:rPr>
  </w:style>
  <w:style w:type="character" w:customStyle="1" w:styleId="18">
    <w:name w:val="批注文字 字符"/>
    <w:link w:val="4"/>
    <w:semiHidden/>
    <w:qFormat/>
    <w:uiPriority w:val="0"/>
    <w:rPr>
      <w:rFonts w:eastAsia="宋体"/>
      <w:szCs w:val="24"/>
    </w:rPr>
  </w:style>
  <w:style w:type="character" w:customStyle="1" w:styleId="19">
    <w:name w:val="纯文本 字符"/>
    <w:link w:val="7"/>
    <w:qFormat/>
    <w:uiPriority w:val="0"/>
    <w:rPr>
      <w:rFonts w:ascii="宋体" w:hAnsi="Courier New" w:eastAsia="宋体"/>
      <w:sz w:val="24"/>
    </w:rPr>
  </w:style>
  <w:style w:type="character" w:customStyle="1" w:styleId="20">
    <w:name w:val="正文文本缩进 字符"/>
    <w:link w:val="6"/>
    <w:qFormat/>
    <w:uiPriority w:val="0"/>
    <w:rPr>
      <w:rFonts w:ascii="宋体" w:hAnsi="宋体" w:eastAsia="宋体"/>
      <w:sz w:val="28"/>
    </w:rPr>
  </w:style>
  <w:style w:type="character" w:customStyle="1" w:styleId="21">
    <w:name w:val="批注文字 Char1"/>
    <w:basedOn w:val="12"/>
    <w:semiHidden/>
    <w:qFormat/>
    <w:uiPriority w:val="99"/>
    <w:rPr>
      <w:rFonts w:ascii="Times New Roman" w:hAnsi="Times New Roman" w:eastAsia="宋体" w:cs="Times New Roman"/>
      <w:szCs w:val="24"/>
    </w:rPr>
  </w:style>
  <w:style w:type="character" w:customStyle="1" w:styleId="22">
    <w:name w:val="纯文本 Char1"/>
    <w:basedOn w:val="12"/>
    <w:semiHidden/>
    <w:qFormat/>
    <w:uiPriority w:val="99"/>
    <w:rPr>
      <w:rFonts w:ascii="宋体" w:hAnsi="Courier New" w:eastAsia="宋体" w:cs="Courier New"/>
      <w:szCs w:val="21"/>
    </w:rPr>
  </w:style>
  <w:style w:type="character" w:customStyle="1" w:styleId="23">
    <w:name w:val="正文文本缩进 Char1"/>
    <w:basedOn w:val="12"/>
    <w:semiHidden/>
    <w:qFormat/>
    <w:uiPriority w:val="99"/>
    <w:rPr>
      <w:rFonts w:ascii="Times New Roman" w:hAnsi="Times New Roman" w:eastAsia="宋体" w:cs="Times New Roman"/>
      <w:szCs w:val="24"/>
    </w:rPr>
  </w:style>
  <w:style w:type="paragraph" w:customStyle="1" w:styleId="24">
    <w:name w:val="彩色列表1"/>
    <w:basedOn w:val="1"/>
    <w:qFormat/>
    <w:uiPriority w:val="34"/>
    <w:pPr>
      <w:ind w:firstLine="420" w:firstLineChars="200"/>
    </w:pPr>
    <w:rPr>
      <w:rFonts w:ascii="Calibri" w:hAnsi="Calibri"/>
      <w:szCs w:val="22"/>
    </w:rPr>
  </w:style>
  <w:style w:type="paragraph" w:customStyle="1" w:styleId="25">
    <w:name w:val="正文_0_0"/>
    <w:qFormat/>
    <w:uiPriority w:val="0"/>
    <w:rPr>
      <w:rFonts w:ascii="Times New Roman" w:hAnsi="Times New Roman" w:eastAsia="宋体" w:cs="Times New Roman"/>
      <w:sz w:val="21"/>
      <w:lang w:val="en-US" w:eastAsia="zh-CN" w:bidi="ar-SA"/>
    </w:rPr>
  </w:style>
  <w:style w:type="paragraph" w:customStyle="1" w:styleId="26">
    <w:name w:val="列出段落1"/>
    <w:basedOn w:val="1"/>
    <w:qFormat/>
    <w:uiPriority w:val="1"/>
    <w:pPr>
      <w:ind w:firstLine="420" w:firstLineChars="200"/>
    </w:pPr>
  </w:style>
  <w:style w:type="paragraph" w:styleId="27">
    <w:name w:val="List Paragraph"/>
    <w:basedOn w:val="1"/>
    <w:qFormat/>
    <w:uiPriority w:val="1"/>
    <w:pPr>
      <w:ind w:firstLine="420" w:firstLineChars="200"/>
    </w:pPr>
    <w:rPr>
      <w:rFonts w:ascii="Calibri" w:hAnsi="Calibri"/>
      <w:szCs w:val="22"/>
    </w:rPr>
  </w:style>
  <w:style w:type="paragraph" w:customStyle="1" w:styleId="28">
    <w:name w:val="样式1"/>
    <w:basedOn w:val="1"/>
    <w:qFormat/>
    <w:uiPriority w:val="0"/>
    <w:pPr>
      <w:tabs>
        <w:tab w:val="left" w:pos="709"/>
      </w:tabs>
      <w:ind w:left="784" w:hanging="360"/>
    </w:pPr>
    <w:rPr>
      <w:rFonts w:ascii="宋体" w:hAnsi="宋体" w:eastAsia="楷体_GB2312"/>
      <w:sz w:val="26"/>
      <w:szCs w:val="20"/>
    </w:rPr>
  </w:style>
  <w:style w:type="character" w:customStyle="1" w:styleId="29">
    <w:name w:val="正文文本 字符"/>
    <w:basedOn w:val="12"/>
    <w:link w:val="5"/>
    <w:semiHidden/>
    <w:qFormat/>
    <w:uiPriority w:val="99"/>
    <w:rPr>
      <w:rFonts w:ascii="Times New Roman" w:hAnsi="Times New Roman" w:eastAsia="宋体" w:cs="Times New Roman"/>
      <w:szCs w:val="24"/>
    </w:rPr>
  </w:style>
  <w:style w:type="character" w:customStyle="1" w:styleId="30">
    <w:name w:val="批注框文本 字符"/>
    <w:basedOn w:val="12"/>
    <w:link w:val="8"/>
    <w:semiHidden/>
    <w:qFormat/>
    <w:uiPriority w:val="99"/>
    <w:rPr>
      <w:rFonts w:ascii="Times New Roman" w:hAnsi="Times New Roman" w:eastAsia="宋体" w:cs="Times New Roman"/>
      <w:sz w:val="18"/>
      <w:szCs w:val="18"/>
    </w:rPr>
  </w:style>
  <w:style w:type="character" w:customStyle="1" w:styleId="31">
    <w:name w:val="font51"/>
    <w:basedOn w:val="12"/>
    <w:qFormat/>
    <w:uiPriority w:val="0"/>
    <w:rPr>
      <w:rFonts w:hint="eastAsia" w:ascii="等线" w:hAnsi="等线" w:eastAsia="等线" w:cs="等线"/>
      <w:b/>
      <w:bCs/>
      <w:color w:val="000000"/>
      <w:sz w:val="20"/>
      <w:szCs w:val="20"/>
      <w:u w:val="none"/>
    </w:rPr>
  </w:style>
  <w:style w:type="character" w:customStyle="1" w:styleId="32">
    <w:name w:val="font31"/>
    <w:basedOn w:val="12"/>
    <w:qFormat/>
    <w:uiPriority w:val="0"/>
    <w:rPr>
      <w:rFonts w:hint="eastAsia" w:ascii="等线" w:hAnsi="等线" w:eastAsia="等线" w:cs="等线"/>
      <w:color w:val="000000"/>
      <w:sz w:val="20"/>
      <w:szCs w:val="20"/>
      <w:u w:val="none"/>
    </w:rPr>
  </w:style>
  <w:style w:type="character" w:customStyle="1" w:styleId="33">
    <w:name w:val="font21"/>
    <w:basedOn w:val="12"/>
    <w:qFormat/>
    <w:uiPriority w:val="0"/>
    <w:rPr>
      <w:rFonts w:hint="eastAsia" w:ascii="等线" w:hAnsi="等线" w:eastAsia="等线" w:cs="等线"/>
      <w:color w:val="000000"/>
      <w:sz w:val="18"/>
      <w:szCs w:val="18"/>
      <w:u w:val="none"/>
    </w:rPr>
  </w:style>
  <w:style w:type="character" w:customStyle="1" w:styleId="34">
    <w:name w:val="font41"/>
    <w:basedOn w:val="12"/>
    <w:qFormat/>
    <w:uiPriority w:val="0"/>
    <w:rPr>
      <w:rFonts w:hint="eastAsia" w:ascii="等线" w:hAnsi="等线" w:eastAsia="等线" w:cs="等线"/>
      <w:color w:val="000000"/>
      <w:sz w:val="20"/>
      <w:szCs w:val="20"/>
      <w:u w:val="none"/>
    </w:rPr>
  </w:style>
  <w:style w:type="character" w:customStyle="1" w:styleId="35">
    <w:name w:val="font01"/>
    <w:basedOn w:val="12"/>
    <w:qFormat/>
    <w:uiPriority w:val="0"/>
    <w:rPr>
      <w:rFonts w:hint="eastAsia" w:ascii="等线" w:hAnsi="等线" w:eastAsia="等线" w:cs="等线"/>
      <w:color w:val="000000"/>
      <w:sz w:val="18"/>
      <w:szCs w:val="18"/>
      <w:u w:val="none"/>
    </w:rPr>
  </w:style>
  <w:style w:type="character" w:customStyle="1" w:styleId="36">
    <w:name w:val="font11"/>
    <w:basedOn w:val="12"/>
    <w:qFormat/>
    <w:uiPriority w:val="0"/>
    <w:rPr>
      <w:rFonts w:hint="eastAsia" w:ascii="等线" w:hAnsi="等线" w:eastAsia="等线" w:cs="等线"/>
      <w:b/>
      <w:bCs/>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1966</Words>
  <Characters>11210</Characters>
  <Lines>93</Lines>
  <Paragraphs>26</Paragraphs>
  <TotalTime>1</TotalTime>
  <ScaleCrop>false</ScaleCrop>
  <LinksUpToDate>false</LinksUpToDate>
  <CharactersWithSpaces>13150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2021-08-09T01:55:00Z</dcterms:created>
  <dc:creator>杨振焕</dc:creator>
  <cp:lastModifiedBy>未知</cp:lastModifiedBy>
  <dcterms:modified xsi:type="dcterms:W3CDTF">2023-06-21T07:12:15Z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FBD015447C6542D9B4B34A1FBFE49CA2_13</vt:lpwstr>
  </property>
</Properties>
</file>