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hint="eastAsia" w:ascii="宋体" w:hAnsi="宋体" w:eastAsia="宋体" w:cs="Times New Roman"/>
          <w:sz w:val="24"/>
          <w:szCs w:val="24"/>
        </w:rPr>
      </w:pPr>
      <w:r>
        <w:rPr>
          <w:rFonts w:hint="eastAsia" w:ascii="宋体" w:hAnsi="宋体"/>
          <w:sz w:val="24"/>
          <w:szCs w:val="24"/>
        </w:rPr>
        <w:t>项目名称：广州市越秀区环市中路</w:t>
      </w:r>
      <w:r>
        <w:rPr>
          <w:rFonts w:hint="eastAsia" w:ascii="宋体" w:hAnsi="宋体" w:eastAsia="宋体" w:cs="Times New Roman"/>
          <w:sz w:val="24"/>
          <w:szCs w:val="24"/>
        </w:rPr>
        <w:t>233号</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栋</w:t>
      </w:r>
      <w:r>
        <w:rPr>
          <w:rFonts w:hint="eastAsia" w:ascii="宋体" w:hAnsi="宋体" w:eastAsia="宋体" w:cs="Times New Roman"/>
          <w:sz w:val="24"/>
          <w:szCs w:val="24"/>
          <w:lang w:val="en-US" w:eastAsia="zh-CN"/>
        </w:rPr>
        <w:t>720-3、720-4</w:t>
      </w:r>
      <w:r>
        <w:rPr>
          <w:rFonts w:hint="eastAsia" w:ascii="宋体" w:hAnsi="宋体" w:eastAsia="宋体" w:cs="Times New Roman"/>
          <w:sz w:val="24"/>
          <w:szCs w:val="24"/>
        </w:rPr>
        <w:t>室物业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pPr>
              <w:widowControl/>
              <w:spacing w:line="440" w:lineRule="exact"/>
              <w:jc w:val="both"/>
              <w:rPr>
                <w:rFonts w:ascii="仿宋_GB2312" w:hAnsi="宋体" w:eastAsia="仿宋_GB2312"/>
                <w:szCs w:val="21"/>
              </w:rPr>
            </w:pPr>
            <w:r>
              <w:rPr>
                <w:rFonts w:hint="eastAsia" w:ascii="仿宋_GB2312" w:hAnsi="Times New Roman" w:eastAsia="仿宋_GB2312" w:cs="Times New Roman"/>
                <w:sz w:val="24"/>
                <w:szCs w:val="24"/>
                <w:highlight w:val="none"/>
              </w:rPr>
              <w:t>广州市越秀区环市中路233号</w:t>
            </w: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栋</w:t>
            </w:r>
            <w:r>
              <w:rPr>
                <w:rFonts w:hint="eastAsia" w:ascii="仿宋_GB2312" w:hAnsi="Times New Roman" w:eastAsia="仿宋_GB2312" w:cs="Times New Roman"/>
                <w:sz w:val="24"/>
                <w:szCs w:val="24"/>
                <w:highlight w:val="none"/>
                <w:lang w:val="en-US" w:eastAsia="zh-CN"/>
              </w:rPr>
              <w:t>720-3、720-4</w:t>
            </w:r>
            <w:r>
              <w:rPr>
                <w:rFonts w:hint="eastAsia" w:ascii="仿宋_GB2312" w:hAnsi="Times New Roman" w:eastAsia="仿宋_GB2312" w:cs="Times New Roman"/>
                <w:sz w:val="24"/>
                <w:szCs w:val="24"/>
                <w:highlight w:val="none"/>
              </w:rPr>
              <w:t>室</w:t>
            </w:r>
          </w:p>
        </w:tc>
        <w:tc>
          <w:tcPr>
            <w:tcW w:w="3490"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pPr>
              <w:widowControl/>
              <w:spacing w:line="440" w:lineRule="exact"/>
              <w:jc w:val="center"/>
              <w:rPr>
                <w:rFonts w:ascii="仿宋_GB2312" w:hAnsi="宋体" w:eastAsia="仿宋_GB2312"/>
                <w:szCs w:val="21"/>
              </w:rPr>
            </w:pPr>
          </w:p>
        </w:tc>
        <w:tc>
          <w:tcPr>
            <w:tcW w:w="3490" w:type="dxa"/>
            <w:noWrap w:val="0"/>
            <w:vAlign w:val="center"/>
          </w:tcPr>
          <w:p>
            <w:pPr>
              <w:widowControl/>
              <w:spacing w:line="440" w:lineRule="exact"/>
              <w:jc w:val="left"/>
              <w:rPr>
                <w:rFonts w:hint="eastAsia" w:ascii="仿宋_GB2312" w:hAnsi="宋体" w:eastAsia="仿宋_GB2312"/>
                <w:szCs w:val="21"/>
                <w:lang w:val="en-US" w:eastAsia="zh-CN"/>
              </w:rPr>
            </w:pPr>
            <w:r>
              <w:rPr>
                <w:rFonts w:hint="eastAsia" w:ascii="仿宋_GB2312" w:hAnsi="Times New Roman" w:eastAsia="仿宋_GB2312" w:cs="Times New Roman"/>
                <w:sz w:val="24"/>
                <w:szCs w:val="24"/>
                <w:highlight w:val="none"/>
              </w:rPr>
              <w:t>自场地交付之日起计</w:t>
            </w:r>
            <w:r>
              <w:rPr>
                <w:rFonts w:hint="eastAsia" w:ascii="仿宋_GB2312" w:hAnsi="Times New Roman" w:eastAsia="仿宋_GB2312" w:cs="Times New Roman"/>
                <w:sz w:val="24"/>
                <w:szCs w:val="24"/>
                <w:highlight w:val="none"/>
                <w:lang w:val="en-US"/>
              </w:rPr>
              <w:t>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pPr>
              <w:widowControl/>
              <w:spacing w:line="440" w:lineRule="exact"/>
              <w:jc w:val="center"/>
              <w:rPr>
                <w:rFonts w:hint="default" w:ascii="仿宋_GB2312" w:hAnsi="宋体" w:eastAsia="仿宋_GB2312"/>
                <w:szCs w:val="24"/>
                <w:lang w:val="en-US" w:eastAsia="zh-CN"/>
              </w:rPr>
            </w:pPr>
          </w:p>
        </w:tc>
        <w:tc>
          <w:tcPr>
            <w:tcW w:w="3490"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 w:val="24"/>
                <w:szCs w:val="32"/>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49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 w:val="24"/>
                <w:szCs w:val="24"/>
                <w:lang w:val="en-US" w:eastAsia="zh-CN"/>
              </w:rPr>
              <w:t>首年</w:t>
            </w:r>
            <w:bookmarkStart w:id="31" w:name="_GoBack"/>
            <w:bookmarkEnd w:id="31"/>
            <w:r>
              <w:rPr>
                <w:rFonts w:hint="eastAsia" w:ascii="仿宋_GB2312" w:hAnsi="宋体" w:eastAsia="仿宋_GB2312"/>
                <w:sz w:val="24"/>
                <w:szCs w:val="24"/>
              </w:rPr>
              <w:t>不低于</w:t>
            </w:r>
            <w:r>
              <w:rPr>
                <w:rFonts w:hint="eastAsia" w:ascii="仿宋_GB2312" w:hAnsi="宋体" w:eastAsia="仿宋_GB2312"/>
                <w:sz w:val="24"/>
                <w:szCs w:val="24"/>
                <w:lang w:val="en-US" w:eastAsia="zh-CN"/>
              </w:rPr>
              <w:t>83</w:t>
            </w:r>
            <w:r>
              <w:rPr>
                <w:rFonts w:hint="eastAsia" w:ascii="仿宋_GB2312" w:hAnsi="宋体" w:eastAsia="仿宋_GB2312"/>
                <w:sz w:val="24"/>
                <w:szCs w:val="24"/>
              </w:rPr>
              <w:t>元/</w:t>
            </w:r>
            <w:r>
              <w:rPr>
                <w:rFonts w:hint="eastAsia" w:ascii="仿宋_GB2312" w:hAnsi="宋体" w:eastAsia="仿宋_GB2312"/>
                <w:sz w:val="24"/>
                <w:szCs w:val="24"/>
                <w:lang w:val="en-US" w:eastAsia="zh-CN"/>
              </w:rPr>
              <w:t>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540"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pPr>
              <w:widowControl/>
              <w:spacing w:line="440" w:lineRule="exact"/>
              <w:jc w:val="center"/>
              <w:rPr>
                <w:rFonts w:hint="eastAsia" w:ascii="仿宋_GB2312" w:hAnsi="宋体" w:eastAsia="仿宋_GB2312"/>
                <w:b/>
                <w:bCs/>
                <w:szCs w:val="21"/>
                <w:u w:val="single"/>
              </w:rPr>
            </w:pPr>
          </w:p>
        </w:tc>
        <w:tc>
          <w:tcPr>
            <w:tcW w:w="3490" w:type="dxa"/>
            <w:noWrap w:val="0"/>
            <w:vAlign w:val="center"/>
          </w:tcPr>
          <w:p>
            <w:pPr>
              <w:widowControl/>
              <w:jc w:val="left"/>
              <w:rPr>
                <w:rFonts w:hint="default" w:ascii="仿宋_GB2312" w:hAnsi="宋体" w:eastAsia="仿宋_GB2312"/>
                <w:b/>
                <w:bCs/>
                <w:szCs w:val="21"/>
                <w:lang w:val="en-US" w:eastAsia="zh-CN"/>
              </w:rPr>
            </w:pPr>
            <w:r>
              <w:rPr>
                <w:rFonts w:hint="eastAsia" w:ascii="仿宋_GB2312" w:hAnsi="宋体" w:eastAsia="仿宋_GB2312"/>
                <w:b w:val="0"/>
                <w:bCs w:val="0"/>
                <w:sz w:val="24"/>
                <w:szCs w:val="24"/>
                <w:lang w:val="en-US" w:eastAsia="zh-CN"/>
              </w:rPr>
              <w:t>第二年起月租金单价标准每年在上一年基础上递增4%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w:t>
            </w:r>
            <w:r>
              <w:rPr>
                <w:rFonts w:hint="eastAsia" w:ascii="仿宋_GB2312" w:hAnsi="宋体" w:eastAsia="仿宋_GB2312"/>
                <w:sz w:val="24"/>
                <w:szCs w:val="24"/>
              </w:rPr>
              <w:t>中央空调</w:t>
            </w:r>
            <w:r>
              <w:rPr>
                <w:rFonts w:hint="eastAsia" w:ascii="仿宋_GB2312" w:hAnsi="宋体" w:eastAsia="仿宋_GB2312"/>
                <w:sz w:val="24"/>
                <w:szCs w:val="24"/>
                <w:lang w:eastAsia="zh-CN"/>
              </w:rPr>
              <w:t>，不含</w:t>
            </w:r>
            <w:r>
              <w:rPr>
                <w:rFonts w:hint="eastAsia" w:ascii="仿宋_GB2312" w:hAnsi="宋体" w:eastAsia="仿宋_GB2312"/>
                <w:sz w:val="24"/>
                <w:szCs w:val="24"/>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8"/>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租金按月支付，乙方应当于每月第10日前支付当月租金（按含增值税金额支付）。甲方收到租金后，应当出具等额有效租金增值税发票。若当月10日为国家法定节假日，支付时间顺延至节假日结束的次日。</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248924430"/>
      <w:bookmarkStart w:id="12" w:name="_Toc529202688"/>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248924432"/>
      <w:bookmarkStart w:id="16" w:name="_Toc529202690"/>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248924433"/>
      <w:bookmarkStart w:id="18" w:name="_Toc529202691"/>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w:t>
      </w:r>
      <w:r>
        <w:rPr>
          <w:rFonts w:hint="eastAsia" w:ascii="仿宋" w:hAnsi="仿宋" w:eastAsia="仿宋"/>
          <w:sz w:val="24"/>
          <w:lang w:eastAsia="zh-Hans"/>
        </w:rPr>
        <w:t>添附</w:t>
      </w:r>
      <w:r>
        <w:rPr>
          <w:rFonts w:hint="eastAsia" w:ascii="仿宋" w:hAnsi="仿宋" w:eastAsia="仿宋"/>
          <w:sz w:val="24"/>
        </w:rPr>
        <w:t>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248924437"/>
      <w:bookmarkStart w:id="26" w:name="_Toc529202695"/>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529202696"/>
      <w:bookmarkStart w:id="28" w:name="_Toc248924438"/>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DLFFZ7h&#10;AQAA3gMAAA4AAAAAAAAAAQAgAAAAKQEAAGRycy9lMm9Eb2MueG1sUEsFBgAAAAAGAAYAWQEAAHwF&#10;AAAAAA==&#10;">
                <v:fill on="t" focussize="0,0"/>
                <v:stroke color="#FFFFFF" joinstyle="miter"/>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F1FC1"/>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1BF1FC1"/>
    <w:rsid w:val="257F16C6"/>
    <w:rsid w:val="26072736"/>
    <w:rsid w:val="27DE3797"/>
    <w:rsid w:val="2826282F"/>
    <w:rsid w:val="29A41A6E"/>
    <w:rsid w:val="2CA877E2"/>
    <w:rsid w:val="2CE02407"/>
    <w:rsid w:val="316A2CB1"/>
    <w:rsid w:val="35067EEE"/>
    <w:rsid w:val="38157E73"/>
    <w:rsid w:val="476D288B"/>
    <w:rsid w:val="477E6E53"/>
    <w:rsid w:val="48E90194"/>
    <w:rsid w:val="4B716869"/>
    <w:rsid w:val="4BF43BD5"/>
    <w:rsid w:val="4C0A1AB8"/>
    <w:rsid w:val="529C0EC4"/>
    <w:rsid w:val="55383115"/>
    <w:rsid w:val="570840BD"/>
    <w:rsid w:val="57AD5F4E"/>
    <w:rsid w:val="5B26615B"/>
    <w:rsid w:val="5D7913E3"/>
    <w:rsid w:val="5E701B43"/>
    <w:rsid w:val="60141471"/>
    <w:rsid w:val="60477CF7"/>
    <w:rsid w:val="61563D7E"/>
    <w:rsid w:val="68C15C82"/>
    <w:rsid w:val="6D5C165E"/>
    <w:rsid w:val="6F3C35FA"/>
    <w:rsid w:val="727C3758"/>
    <w:rsid w:val="73047659"/>
    <w:rsid w:val="77FE7284"/>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2023-06-15T02:43:00Z</dcterms:created>
  <dc:creator>邓思立</dc:creator>
  <cp:lastModifiedBy>邓思立</cp:lastModifiedBy>
  <dcterms:modified xsi:type="dcterms:W3CDTF">2023-06-15T02:45:22Z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